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86 shortens the active native-view bridge polling yield to one</w:t>
      </w:r>
    </w:p>
    <w:p>
      <w:r>
        <w:t>millisecond. Native frame identity, publication checks and terminal backoff</w:t>
      </w:r>
    </w:p>
    <w:p>
      <w:r>
        <w:t>remain intact. Throughput still depends on producer and bridge work.</w:t>
      </w:r>
    </w:p>
    <w:p/>
    <w:p>
      <w:r>
        <w:t>Record 85 separates native camera areas from the saved world definition.</w:t>
      </w:r>
    </w:p>
    <w:p>
      <w:r>
        <w:t>The bridge validates the runner's sealed observer layout and publishes distinct</w:t>
      </w:r>
    </w:p>
    <w:p>
      <w:r>
        <w:t>simultaneous native images for its areas. Original world/archive identity and</w:t>
      </w:r>
    </w:p>
    <w:p>
      <w:r>
        <w:t>legacy definition-owned sites remain supported. The corrected live continuation</w:t>
      </w:r>
    </w:p>
    <w:p>
      <w:r>
        <w:t>retains its original native save. Its final corrected pass advances 1.6333 game</w:t>
      </w:r>
    </w:p>
    <w:p>
      <w:r>
        <w:t>hours with distinct simultaneous native images and a normal error-free save.</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8â€“11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