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Cross-module row contract</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Contract</w:t>
            </w:r>
          </w:p>
        </w:tc>
      </w:tr>
      <w:tr>
        <w:tc>
          <w:tcPr>
            <w:tcW w:type="dxa" w:w="4968"/>
          </w:tcPr>
          <w:p>
            <w:r>
              <w:t>Version</w:t>
            </w:r>
          </w:p>
        </w:tc>
        <w:tc>
          <w:tcPr>
            <w:tcW w:type="dxa" w:w="4968"/>
          </w:tcPr>
          <w:p>
            <w:r>
              <w:t>3 for new joins; version 2 remains protected historical data</w:t>
            </w:r>
          </w:p>
        </w:tc>
      </w:tr>
      <w:tr>
        <w:tc>
          <w:tcPr>
            <w:tcW w:type="dxa" w:w="4968"/>
          </w:tcPr>
          <w:p>
            <w:r>
              <w:t>Status</w:t>
            </w:r>
          </w:p>
        </w:tc>
        <w:tc>
          <w:tcPr>
            <w:tcW w:type="dxa" w:w="4968"/>
          </w:tcPr>
          <w:p>
            <w:r>
              <w:t>Corrective integrity revision, 2026-09-20; preserves the operator intent ratified for version 2 in RECORD entry 42</w:t>
            </w:r>
          </w:p>
        </w:tc>
      </w:tr>
      <w:tr>
        <w:tc>
          <w:tcPr>
            <w:tcW w:type="dxa" w:w="4968"/>
          </w:tcPr>
          <w:p>
            <w:r>
              <w:t>Owner</w:t>
            </w:r>
          </w:p>
        </w:tc>
        <w:tc>
          <w:tcPr>
            <w:tcW w:type="dxa" w:w="4968"/>
          </w:tcPr>
          <w:p>
            <w:r>
              <w:t>ellyj3rain</w:t>
            </w:r>
          </w:p>
        </w:tc>
      </w:tr>
    </w:tbl>
    <w:p>
      <w:r>
        <w:t>One row carries the four ratified halves across SAO, ZAO and Speakeasy:</w:t>
      </w:r>
    </w:p>
    <w:p>
      <w:r>
        <w:t>1. person 2. situation 3. options 4. choice</w:t>
      </w:r>
    </w:p>
    <w:p>
      <w:r>
        <w:t>The version 3 contract tightens the evidence identity and action boundary. It does not alter an approved choice.</w:t>
      </w:r>
    </w:p>
    <w:p>
      <w:pPr>
        <w:pStyle w:val="Heading1"/>
      </w:pPr>
      <w:r>
        <w:t>Full namespace</w:t>
      </w:r>
    </w:p>
    <w:p>
      <w:r>
        <w:t>Every SAO and ZAO input row carries the same namespace object:</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Meaning</w:t>
            </w:r>
          </w:p>
        </w:tc>
      </w:tr>
      <w:tr>
        <w:tc>
          <w:tcPr>
            <w:tcW w:type="dxa" w:w="4968"/>
          </w:tcPr>
          <w:p>
            <w:r>
              <w:t>runId</w:t>
            </w:r>
          </w:p>
        </w:tc>
        <w:tc>
          <w:tcPr>
            <w:tcW w:type="dxa" w:w="4968"/>
          </w:tcPr>
          <w:p>
            <w:r>
              <w:t>The source simulation run, bound to its code, settings and seed</w:t>
            </w:r>
          </w:p>
        </w:tc>
      </w:tr>
      <w:tr>
        <w:tc>
          <w:tcPr>
            <w:tcW w:type="dxa" w:w="4968"/>
          </w:tcPr>
          <w:p>
            <w:r>
              <w:t>county</w:t>
            </w:r>
          </w:p>
        </w:tc>
        <w:tc>
          <w:tcPr>
            <w:tcW w:type="dxa" w:w="4968"/>
          </w:tcPr>
          <w:p>
            <w:r>
              <w:t>The originating county inside that run</w:t>
            </w:r>
          </w:p>
        </w:tc>
      </w:tr>
      <w:tr>
        <w:tc>
          <w:tcPr>
            <w:tcW w:type="dxa" w:w="4968"/>
          </w:tcPr>
          <w:p>
            <w:r>
              <w:t>personId</w:t>
            </w:r>
          </w:p>
        </w:tc>
        <w:tc>
          <w:tcPr>
            <w:tcW w:type="dxa" w:w="4968"/>
          </w:tcPr>
          <w:p>
            <w:r>
              <w:t>The person whose decision this is</w:t>
            </w:r>
          </w:p>
        </w:tc>
      </w:tr>
      <w:tr>
        <w:tc>
          <w:tcPr>
            <w:tcW w:type="dxa" w:w="4968"/>
          </w:tcPr>
          <w:p>
            <w:r>
              <w:t>eventId</w:t>
            </w:r>
          </w:p>
        </w:tc>
        <w:tc>
          <w:tcPr>
            <w:tcW w:type="dxa" w:w="4968"/>
          </w:tcPr>
          <w:p>
            <w:r>
              <w:t>The particular decision event</w:t>
            </w:r>
          </w:p>
        </w:tc>
      </w:tr>
      <w:tr>
        <w:tc>
          <w:tcPr>
            <w:tcW w:type="dxa" w:w="4968"/>
          </w:tcPr>
          <w:p>
            <w:r>
              <w:t>hour</w:t>
            </w:r>
          </w:p>
        </w:tc>
        <w:tc>
          <w:tcPr>
            <w:tcW w:type="dxa" w:w="4968"/>
          </w:tcPr>
          <w:p>
            <w:r>
              <w:t>The county hour at which the event opened</w:t>
            </w:r>
          </w:p>
        </w:tc>
      </w:tr>
    </w:tbl>
    <w:p>
      <w:r>
        <w:t>All five fields form the join key. person.id, situation.county, situation.hour, any citation, and ZAO asOfHour must agree with it. Duplicate, missing and unmatched namespaces refuse the whole export.</w:t>
      </w:r>
    </w:p>
    <w:p>
      <w:pPr>
        <w:pStyle w:val="Heading1"/>
      </w:pPr>
      <w:r>
        <w:t>Input schemas</w:t>
      </w:r>
    </w:p>
    <w:p>
      <w:r>
        <w:t>An SAO row declares schema: "speakeasy-decision-row" and schemaVersion: 3. A ZAO row declares schema: "zao-decision-state" and the same version.</w:t>
      </w:r>
    </w:p>
    <w:p>
      <w:r>
        <w:t>The SAO row owns the four halves. The ZAO row owns pathogen and visibleForms as of the namespace hour. The join adds pathogen to the person, adds visibleForms to the situation, and records both input hashes and the full namespace in crossModule.</w:t>
      </w:r>
    </w:p>
    <w:p>
      <w:pPr>
        <w:pStyle w:val="Heading1"/>
      </w:pPr>
      <w:r>
        <w:t>Executable options</w:t>
      </w:r>
    </w:p>
    <w:p>
      <w:r>
        <w:t>options is a nonempty list of action objects. Every option carries:</w:t>
      </w:r>
    </w:p>
    <w:p>
      <w:pPr>
        <w:pStyle w:val="ListBullet"/>
      </w:pPr>
      <w:r>
        <w:t>a stable id;</w:t>
      </w:r>
    </w:p>
    <w:p>
      <w:pPr>
        <w:pStyle w:val="ListBullet"/>
      </w:pPr>
      <w:r>
        <w:t>the real action owner;</w:t>
      </w:r>
    </w:p>
    <w:p>
      <w:pPr>
        <w:pStyle w:val="ListBullet"/>
      </w:pPr>
      <w:r>
        <w:t>a parameters object;</w:t>
      </w:r>
    </w:p>
    <w:p>
      <w:pPr>
        <w:pStyle w:val="ListBullet"/>
      </w:pPr>
      <w:r>
        <w:t>eligibility.status: "eligible";</w:t>
      </w:r>
    </w:p>
    <w:p>
      <w:pPr>
        <w:pStyle w:val="ListBullet"/>
      </w:pPr>
      <w:r>
        <w:t>one or more evidence objects proving current eligibility.</w:t>
      </w:r>
    </w:p>
    <w:p>
      <w:r>
        <w:t>choice.optionId names one offered option. Execution revalidates that option because the world can change after inference.</w:t>
      </w:r>
    </w:p>
    <w:p>
      <w:pPr>
        <w:pStyle w:val="Heading1"/>
      </w:pPr>
      <w:r>
        <w:t>Conditioning time</w:t>
      </w:r>
    </w:p>
    <w:p>
      <w:r>
        <w:t>Each row has a conditioning object with status, decisionHour, latestEvidenceHour and exclusions. An eligible row has no exclusions and no evidence later than the decision hour. An ineligible row may preserve an approved choice for audit or reconstruction, but cannot enter a training view.</w:t>
      </w:r>
    </w:p>
    <w:p>
      <w:r>
        <w:t>The choice and its conditioning retain separate standing. The protected version 2 artifacts demonstrate why: future death, lesson and belief facts are present in most rows even though the choices themselves were ratified. The counts and hashes are in ELIGIBILITY.md and PROTECTED.json.</w:t>
      </w:r>
    </w:p>
    <w:p>
      <w:pPr>
        <w:pStyle w:val="Heading1"/>
      </w:pPr>
      <w:r>
        <w:t>Publication</w:t>
      </w:r>
    </w:p>
    <w:p>
      <w:r>
        <w:t>tools/cross_module_rows.py validates both complete inputs before it creates a temporary sibling. It writes the complete joined bytes, flushes them, then publishes with one atomic replace. The output may not equal either input or any path protected by PROTECTED.json. A failure leaves the previous output unchanged.</w:t>
      </w:r>
    </w:p>
    <w:p>
      <w:pPr>
        <w:pStyle w:val="Heading1"/>
      </w:pPr>
      <w:r>
        <w:t>Pathogen and perception rules</w:t>
      </w:r>
    </w:p>
    <w:p>
      <w:pPr>
        <w:pStyle w:val="ListBullet"/>
      </w:pPr>
      <w:r>
        <w:t>The pathogen owns the mutation roll.</w:t>
      </w:r>
    </w:p>
    <w:p>
      <w:pPr>
        <w:pStyle w:val="ListBullet"/>
      </w:pPr>
      <w:r>
        <w:t>Form performance is a pathogen roll.</w:t>
      </w:r>
    </w:p>
    <w:p>
      <w:pPr>
        <w:pStyle w:val="ListBullet"/>
      </w:pPr>
      <w:r>
        <w:t>Crossed is terminal and does not mutate further.</w:t>
      </w:r>
    </w:p>
    <w:p>
      <w:pPr>
        <w:pStyle w:val="ListBullet"/>
      </w:pPr>
      <w:r>
        <w:t>Retained form traits are state, not new branches.</w:t>
      </w:r>
    </w:p>
    <w:p>
      <w:pPr>
        <w:pStyle w:val="ListBullet"/>
      </w:pPr>
      <w:r>
        <w:t>Forms and attribute mutations stack.</w:t>
      </w:r>
    </w:p>
    <w:p>
      <w:pPr>
        <w:pStyle w:val="ListBullet"/>
      </w:pPr>
      <w:r>
        <w:t>Forms enter Perception and change pressure inside the existing branching</w:t>
      </w:r>
    </w:p>
    <w:p>
      <w:r>
        <w:t xml:space="preserve">  graph.</w:t>
      </w:r>
    </w:p>
    <w:p>
      <w:pPr>
        <w:pStyle w:val="ListBullet"/>
      </w:pPr>
      <w:r>
        <w:t>Pathogen state and mutation knowledge come from simulated infection, death,</w:t>
      </w:r>
    </w:p>
    <w:p>
      <w:r>
        <w:t xml:space="preserve">  turn, carrier exposure, encounter and testimony events. They are never   derived from a person id, clock or hash.</w:t>
      </w:r>
    </w:p>
    <w:p>
      <w:r>
        <w:t>Version 2 remains the exact ratified historical artifact. It is not rewritten in place and the version 3 tool refuses it as input.</w:t>
      </w:r>
    </w:p>
    <w:p>
      <w:pPr>
        <w:pStyle w:val="Heading1"/>
      </w:pPr>
      <w:r>
        <w:t>Derived knowledge and authoring</w:t>
      </w:r>
    </w:p>
    <w:p>
      <w:r>
        <w:t>Version 1 knowledge views and proposals bind to the full event namespace and immutable event/option hashes. They preserve the source capture's conditioning exclusions and retain the standing of extracted claims and acquisition evidence separately from document approval. Authored choices remain unratified proposals. Neither compilation nor authoring changes the version 3 row or promotes it into a training view.</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