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Training</w:t>
      </w:r>
    </w:p>
    <w:p>
      <w:r>
        <w:t>The runs that produce the two models, and the contract SAO loads them by.</w:t>
      </w:r>
    </w:p>
    <w:p>
      <w:r>
        <w:t>Rules:</w:t>
      </w:r>
    </w:p>
    <w:p>
      <w:pPr>
        <w:pStyle w:val="ListBullet"/>
      </w:pPr>
      <w:r>
        <w:t>Model sizes cite measured in-game inference budgets, never a</w:t>
      </w:r>
    </w:p>
    <w:p>
      <w:r>
        <w:t xml:space="preserve">  guess.</w:t>
      </w:r>
    </w:p>
    <w:p>
      <w:pPr>
        <w:pStyle w:val="ListBullet"/>
      </w:pPr>
      <w:r>
        <w:t>Every run records its data snapshot, its size, and its result.</w:t>
      </w:r>
    </w:p>
    <w:p>
      <w:pPr>
        <w:pStyle w:val="ListBullet"/>
      </w:pPr>
      <w:r>
        <w:t>The export contract (format, versioning, how a consumer loads a</w:t>
      </w:r>
    </w:p>
    <w:p>
      <w:r>
        <w:t xml:space="preserve">  model) is designed here and recorded before the first export.</w:t>
      </w:r>
    </w:p>
    <w:p>
      <w:r>
        <w:t>No training run exists yet. Approved data does: 190 ratified choices and nine approved world documents. Training is blocked at their conditioning boundary, not at review. The historical decision rows contain future facts and bare options, and their version 2 cross-module key collapses distinct county events. They remain protected intent and audit evidence; they are not admitted to a training view. ../decisions/ELIGIBILITY.md records the measured findings and the version 3 admission contract.</w:t>
      </w:r>
    </w:p>
    <w:p>
      <w:r>
        <w:t>The version 1 knowledge/authoring tool now prepares content-hashed views and separately authored proposals over frozen events. It preserves all existing exclusions and adds the unresolved extraction, acquisition-adjudication and knowledge-coverage exclusions. It creates no training-eligible rows or approvals. Actual acquisition exports, claim-level temporal reconstruction review, ratification and broader producer coverage remain requirements for training admission.</w:t>
      </w:r>
    </w:p>
    <w:p>
      <w:r>
        <w:t>The goal is named now (RECORD.md 45, the operator, 2026-09-13): the end state is everything works and is ready to play, in theory, and then the ML work runs a few training passes over the full dataset and the runtime, tuned to a result sufficient for a first time play. That is the pre-alpha to alpha bar. The order into it: the sandbox options revision the operator named the same day, then readiness, then the passes.</w:t>
      </w:r>
    </w:p>
    <w:p>
      <w:r>
        <w:t>The budget has a ceiling now (record entry 26). SAO's [C28] probe is pure arithmetic and touches no game state, so it was run standalone against the compiled bridge over that batch's own five shapes: a 256x8 forward pass averages 387 microseconds on an idle Java 25 desktop, about two percent of a 60fps frame, and 512x8 averages 1493, about nine. Those are a CEILING - [C28] named the game's own thread under the game's own load as the honest worst case, and this is neither, so the in-game figures will be worse. The rule above stands: a size is chosen against the ladder fired from the debug menu in a real session, not against these.</w:t>
      </w:r>
    </w:p>
    <w:p>
      <w:r>
        <w:t>What does NOT wait, and is already built on the SAO side: the fence. Decision 4 ratified constrained decoding as the mechanism for no-invention, and SAO's SAOFence (batch C47) implements it - a model is handed the vocabulary its person can actually say, slot by slot, read off that person's own claim set, and can emit nothing else. Its correctness is proved mechanically over a corpus, near-misses included, as the ratification required.</w:t>
      </w:r>
    </w:p>
    <w:p>
      <w:r>
        <w:t>This matters here because it changes what a training run has to achieve. The model does not have to learn not to lie about facts: it cannot. What it has to learn is the language - how this person says the things they are permitted to say. A run that scores well on factual faithfulness has measured the fence, not the model.</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