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Record 82 educational answer adapter and personal prior</w:t>
      </w:r>
    </w:p>
    <w:p/>
    <w:p>
      <w:r>
        <w:t>The measured answer adapter adds 16,672 trained FP32 parameters to the frozen</w:t>
      </w:r>
    </w:p>
    <w:p>
      <w:r>
        <w:t>[Record 81 base](../r81-reference/README.md). It learns answer and EOS targets</w:t>
      </w:r>
    </w:p>
    <w:p>
      <w:r>
        <w:t>from complete publisher questions in the training partition. Hidden evaluation</w:t>
      </w:r>
    </w:p>
    <w:p>
      <w:r>
        <w:t>answers remain outside inference inputs. Original family partitions and the</w:t>
      </w:r>
    </w:p>
    <w:p>
      <w:r>
        <w:t>frozen byte tokenizer remain authoritative.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Measurement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Complete training questions</w:t>
            </w:r>
          </w:p>
        </w:tc>
        <w:tc>
          <w:tcPr>
            <w:tcW w:type="dxa" w:w="4320"/>
          </w:tcPr>
          <w:p>
            <w:r>
              <w:t>1,992 of 5,557 supported targets; 3,422 overflow and 143 need missing media</w:t>
            </w:r>
          </w:p>
        </w:tc>
      </w:tr>
      <w:tr>
        <w:tc>
          <w:tcPr>
            <w:tcW w:type="dxa" w:w="4320"/>
          </w:tcPr>
          <w:p>
            <w:r>
              <w:t>Configuration fixed before grading</w:t>
            </w:r>
          </w:p>
        </w:tc>
        <w:tc>
          <w:tcPr>
            <w:tcW w:type="dxa" w:w="4320"/>
          </w:tcPr>
          <w:p>
            <w:r>
              <w:t>Seed 82, bottleneck 32, 2,048 updates, batch 64, learning rate 0.001</w:t>
            </w:r>
          </w:p>
        </w:tc>
      </w:tr>
      <w:tr>
        <w:tc>
          <w:tcPr>
            <w:tcW w:type="dxa" w:w="4320"/>
          </w:tcPr>
          <w:p>
            <w:r>
              <w:t>Actual fitting</w:t>
            </w:r>
          </w:p>
        </w:tc>
        <w:tc>
          <w:tcPr>
            <w:tcW w:type="dxa" w:w="4320"/>
          </w:tcPr>
          <w:p>
            <w:r>
              <w:t>319,436 answer/EOS targets; 49.05 seconds; frozen base unchanged</w:t>
            </w:r>
          </w:p>
        </w:tc>
      </w:tr>
      <w:tr>
        <w:tc>
          <w:tcPr>
            <w:tcW w:type="dxa" w:w="4320"/>
          </w:tcPr>
          <w:p>
            <w:r>
              <w:t>Test multiple choice</w:t>
            </w:r>
          </w:p>
        </w:tc>
        <w:tc>
          <w:tcPr>
            <w:tcW w:type="dxa" w:w="4320"/>
          </w:tcPr>
          <w:p>
            <w:r>
              <w:t>Adapter 38/187 correct (20.32%); frozen base 35/187; untrained seed 43/187</w:t>
            </w:r>
          </w:p>
        </w:tc>
      </w:tr>
      <w:tr>
        <w:tc>
          <w:tcPr>
            <w:tcW w:type="dxa" w:w="4320"/>
          </w:tcPr>
          <w:p>
            <w:r>
              <w:t>Validation multiple choice</w:t>
            </w:r>
          </w:p>
        </w:tc>
        <w:tc>
          <w:tcPr>
            <w:tcW w:type="dxa" w:w="4320"/>
          </w:tcPr>
          <w:p>
            <w:r>
              <w:t>Adapter and frozen base 6/18 correct; seed 3/18</w:t>
            </w:r>
          </w:p>
        </w:tc>
      </w:tr>
      <w:tr>
        <w:tc>
          <w:tcPr>
            <w:tcW w:type="dxa" w:w="4320"/>
          </w:tcPr>
          <w:p>
            <w:r>
              <w:t>Validation numeric</w:t>
            </w:r>
          </w:p>
        </w:tc>
        <w:tc>
          <w:tcPr>
            <w:tcW w:type="dxa" w:w="4320"/>
          </w:tcPr>
          <w:p>
            <w:r>
              <w:t>0/49 correct; 46 incorrect, three unrecognized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Four byte-exact tensors; 66,688 little-endian FP32 bytes</w:t>
            </w:r>
          </w:p>
        </w:tc>
      </w:tr>
    </w:tbl>
    <w:p/>
    <w:p>
      <w:r>
        <w:t>The adapter improves response formatting and three test answers over the frozen</w:t>
      </w:r>
    </w:p>
    <w:p>
      <w:r>
        <w:t>base, while remaining below the untrained seed on test. It establishes no</w:t>
      </w:r>
    </w:p>
    <w:p>
      <w:r>
        <w:t>curriculum competence. The numeric format gain supplies no correct numeric</w:t>
      </w:r>
    </w:p>
    <w:p>
      <w:r>
        <w:t>answers. The fixed candidate was evaluated once after source repair and refit;</w:t>
      </w:r>
    </w:p>
    <w:p>
      <w:r>
        <w:t>the repaired refit has identical adapter tensor values. Retained old attempts</w:t>
      </w:r>
    </w:p>
    <w:p>
      <w:r>
        <w:t>remain historical. Attempted complete inputs, pre-inference exclusions and</w:t>
      </w:r>
    </w:p>
    <w:p>
      <w:r>
        <w:t>unfinished or invalid outputs have separate denominators.</w:t>
      </w:r>
    </w:p>
    <w:p/>
    <w:p>
      <w:r>
        <w:t>Personal runtime export version 2 preserves original learning states, source</w:t>
      </w:r>
    </w:p>
    <w:p>
      <w:r>
        <w:t>references, policy, independent person/context bindings and the county clock.</w:t>
      </w:r>
    </w:p>
    <w:p>
      <w:r>
        <w:t>Queries age those original states without crediting practice. Runtime registry</w:t>
      </w:r>
    </w:p>
    <w:p>
      <w:r>
        <w:t>packaging reconstructs every explicit person's schooling, ledger and profile</w:t>
      </w:r>
    </w:p>
    <w:p>
      <w:r>
        <w:t>before export. Its world identity uses the game's existing canonical JSON</w:t>
      </w:r>
    </w:p>
    <w:p>
      <w:r>
        <w:t>definition hash; raw file hashes remain provenance. Source birth region and</w:t>
      </w:r>
    </w:p>
    <w:p>
      <w:r>
        <w:t>migrations remain distinct from current residence.</w:t>
      </w:r>
    </w:p>
    <w:p/>
    <w:p>
      <w:r>
        <w:t>`personal-prior-controls/` contains an Ontario-born outsider who moved to</w:t>
      </w:r>
    </w:p>
    <w:p>
      <w:r>
        <w:t>Kentucky. Its one successful original textbook response is an explicit gold</w:t>
      </w:r>
    </w:p>
    <w:p>
      <w:r>
        <w:t>control dated in 2026, not a model-produced answer or historical 1993 classroom</w:t>
      </w:r>
    </w:p>
    <w:p>
      <w:r>
        <w:t>receipt. Original, newer and empty exports test source custody and decay. They</w:t>
      </w:r>
    </w:p>
    <w:p>
      <w:r>
        <w:t>establish no native actor competence. Modern textbooks require dated concept</w:t>
      </w:r>
    </w:p>
    <w:p>
      <w:r>
        <w:t>mapping before historical exposure.</w:t>
      </w:r>
    </w:p>
    <w:p/>
    <w:p>
      <w:r>
        <w:t>Speakeasy owns source acquisition, preparation, fitting and automatic grading.</w:t>
      </w:r>
    </w:p>
    <w:p>
      <w:r>
        <w:t>SAO owns native person attachment, persistence, asynchronous inference and</w:t>
      </w:r>
    </w:p>
    <w:p>
      <w:r>
        <w:t>current-state revalidation. Academic concept references do not grant native</w:t>
      </w:r>
    </w:p>
    <w:p>
      <w:r>
        <w:t>skills, recipes, unseen county facts or peer assent. The native consumer and</w:t>
      </w:r>
    </w:p>
    <w:p>
      <w:r>
        <w:t>concept-to-game-action mapping retain their own implementation evidence.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