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Consolidated continuation</w:t>
      </w:r>
    </w:p>
    <w:p/>
    <w:p>
      <w:r>
        <w:t>Status: RATIFIED through Mousecat interaction `skill-3647c923478ac89b`, item `seam-c01fbd07bd36b182`.</w:t>
      </w:r>
    </w:p>
    <w:p>
      <w:r>
        <w:t>The operator selected `adopt-consolidated-plan` without qualifications. Existing architecture and R contracts retain their authority.</w:t>
      </w:r>
    </w:p>
    <w:p>
      <w:r>
        <w:t>Decision receipt: `8c6de117789d0367f7b1a020ec1b9e60c97ddd4681be0ad50512474126c9ae3e`. The exact reviewed proposal remains in `direction/post-r57-proposal.json` and `CONTINUATION.proposed.md`.</w:t>
      </w:r>
    </w:p>
    <w:p>
      <w:r>
        <w:t>Direction-time anchors: SAO C77 / 9d08d15; Speakeasy Record 57 / d147224.</w:t>
      </w:r>
    </w:p>
    <w:p>
      <w:r>
        <w:t>Current implementation: C78 source capture, Record 60 contextual comparisons, Record 61 shared tokenizer reference, Record 62 returned behavioral review, Records 63-65 enacted coordination and distinct ZAO state behind shared execution, Record 66's approved bounded coordination dataset/reference run, Record 67's exact native shadow bundle, Record 68's causal episode intake and Record 69's process observation intake over published SAO C85 / ZAO A42. Exact behavior review standing is in `behavior/c78/`; tokenization evidence is in `datasets/c77-tokenization/`; coordination evidence, episode standing, run standing and native parity are in `coordination/`.</w:t>
      </w:r>
    </w:p>
    <w:p>
      <w:r>
        <w:t>Purpose: move from verified examples to a reproducible learned exchange while preserving the broader simulation-readiness work.</w:t>
      </w:r>
    </w:p>
    <w:p/>
    <w:p>
      <w:pPr>
        <w:pStyle w:val="Heading2"/>
      </w:pPr>
      <w:r>
        <w:t>Current position</w:t>
      </w:r>
    </w:p>
    <w:p/>
    <w:p>
      <w:r>
        <w:t>The operator's 2026-09-30 continuation establishes academic and cultural sources</w:t>
      </w:r>
    </w:p>
    <w:p>
      <w:r>
        <w:t>as prerequisite pre-training material with automated provenance, rights,</w:t>
      </w:r>
    </w:p>
    <w:p>
      <w:r>
        <w:t>reconstruction and downstream learner assessment. Record 81 implements this</w:t>
      </w:r>
    </w:p>
    <w:p>
      <w:r>
        <w:t>source route, the K-through-college curriculum, regional/personal schooling</w:t>
      </w:r>
    </w:p>
    <w:p>
      <w:r>
        <w:t>producer, source-derived grader, learning-state replay and shared FP32 reference.</w:t>
      </w:r>
    </w:p>
    <w:p>
      <w:r>
        <w:t>Its source/data admission and learner grades have separate owners. Native prior</w:t>
      </w:r>
    </w:p>
    <w:p>
      <w:r>
        <w:t>consumption, grounded task adapters and loaded acceptance retain their executable</w:t>
      </w:r>
    </w:p>
    <w:p>
      <w:r>
        <w:t>dependencies. See [the foundation](../corpus/pretraining/README.md).</w:t>
      </w:r>
    </w:p>
    <w:p/>
    <w:p>
      <w:r>
        <w:t>Behavioral scenarios retain evaluation before dataset ratification.</w:t>
      </w:r>
    </w:p>
    <w:p>
      <w:r>
        <w:t>Record 70 implements authored hypothetical scenes and exact-subject admission</w:t>
      </w:r>
    </w:p>
    <w:p>
      <w:r>
        <w:t>through the existing Mousecat evidence owner. Mousecat hosts the visual preview;</w:t>
      </w:r>
    </w:p>
    <w:p>
      <w:r>
        <w:t>Speakeasy supplies its scene and teaching data. The first water-repair example</w:t>
      </w:r>
    </w:p>
    <w:p>
      <w:r>
        <w:t>remains unratified. Teaching can begin with authored scenarios while independent</w:t>
      </w:r>
    </w:p>
    <w:p>
      <w:r>
        <w:t>simulation collection continues. Existing exact approvals retain their original</w:t>
      </w:r>
    </w:p>
    <w:p>
      <w:r>
        <w:t>scope; no new example inherits them.</w:t>
      </w:r>
    </w:p>
    <w:p/>
    <w:tbl>
      <w:tblPr>
        <w:tblStyle w:val="TableGrid"/>
        <w:tblW w:type="auto" w:w="0"/>
        <w:tblLook w:firstColumn="1" w:firstRow="1" w:lastColumn="0" w:lastRow="0" w:noHBand="0" w:noVBand="1" w:val="04A0"/>
      </w:tblPr>
      <w:tblGrid>
        <w:gridCol w:w="2880"/>
        <w:gridCol w:w="2880"/>
        <w:gridCol w:w="2880"/>
      </w:tblGrid>
      <w:tr>
        <w:tc>
          <w:tcPr>
            <w:tcW w:type="dxa" w:w="2880"/>
          </w:tcPr>
          <w:p>
            <w:r>
              <w:t>Area</w:t>
            </w:r>
          </w:p>
        </w:tc>
        <w:tc>
          <w:tcPr>
            <w:tcW w:type="dxa" w:w="2880"/>
          </w:tcPr>
          <w:p>
            <w:r>
              <w:t>Verified standing</w:t>
            </w:r>
          </w:p>
        </w:tc>
        <w:tc>
          <w:tcPr>
            <w:tcW w:type="dxa" w:w="2880"/>
          </w:tcPr>
          <w:p>
            <w:r>
              <w:t>Practical limit</w:t>
            </w:r>
          </w:p>
        </w:tc>
      </w:tr>
      <w:tr>
        <w:tc>
          <w:tcPr>
            <w:tcW w:type="dxa" w:w="2880"/>
          </w:tcPr>
          <w:p>
            <w:r>
              <w:t>SAO</w:t>
            </w:r>
          </w:p>
        </w:tc>
        <w:tc>
          <w:tcPr>
            <w:tcW w:type="dxa" w:w="2880"/>
          </w:tcPr>
          <w:p>
            <w:r>
              <w:t>C79-C85 implement enacted coordination, shared ZAO execution ownership, the reviewed 20-row source, exact native shadow, causal episodes and person-private origins with durable contact attempts. ZAO A42 extends the distinct policies behind the shared driver.</w:t>
            </w:r>
          </w:p>
        </w:tc>
        <w:tc>
          <w:tcPr>
            <w:tcW w:type="dxa" w:w="2880"/>
          </w:tcPr>
          <w:p>
            <w:r>
              <w:t>Mechanical/headless evidence proves the named paths. The fresh ten-day population-12 episode formed 27 matters and 46 arrivals but no receptions or decisions; loaded-world behavior and autonomous reading remain unobserved or absent.</w:t>
            </w:r>
          </w:p>
        </w:tc>
      </w:tr>
      <w:tr>
        <w:tc>
          <w:tcPr>
            <w:tcW w:type="dxa" w:w="2880"/>
          </w:tcPr>
          <w:p>
            <w:r>
              <w:t>Simulation readiness</w:t>
            </w:r>
          </w:p>
        </w:tc>
        <w:tc>
          <w:tcPr>
            <w:tcW w:type="dxa" w:w="2880"/>
          </w:tcPr>
          <w:p>
            <w:r>
              <w:t>ROADMAP records R1-R5 closed, selected R6/source-access work closed, selected source/treatment/communication/rest mechanisms, and C84's first exact R15 baseline episode.</w:t>
            </w:r>
          </w:p>
        </w:tc>
        <w:tc>
          <w:tcPr>
            <w:tcW w:type="dxa" w:w="2880"/>
          </w:tcPr>
          <w:p>
            <w:r>
              <w:t>Remaining R7-R9 actions and life producers, R10b historical integration, broad R11-R12 data coverage, general R13 training, R14 learned runtime and accelerator equivalence remain unfinished.</w:t>
            </w:r>
          </w:p>
        </w:tc>
      </w:tr>
      <w:tr>
        <w:tc>
          <w:tcPr>
            <w:tcW w:type="dxa" w:w="2880"/>
          </w:tcPr>
          <w:p>
            <w:r>
              <w:t>Understanding and retrieval</w:t>
            </w:r>
          </w:p>
        </w:tc>
        <w:tc>
          <w:tcPr>
            <w:tcW w:type="dxa" w:w="2880"/>
          </w:tcPr>
          <w:p>
            <w:r>
              <w:t>One exact C77 authored conversation has independent approvals for its typed interpretation and retrieval target.</w:t>
            </w:r>
          </w:p>
        </w:tc>
        <w:tc>
          <w:tcPr>
            <w:tcW w:type="dxa" w:w="2880"/>
          </w:tcPr>
          <w:p>
            <w:r>
              <w:t>Retrieval has one required report, no reviewed hard negatives and seven unjudged claims. This is not evidence of general retrieval quality.</w:t>
            </w:r>
          </w:p>
        </w:tc>
      </w:tr>
      <w:tr>
        <w:tc>
          <w:tcPr>
            <w:tcW w:type="dxa" w:w="2880"/>
          </w:tcPr>
          <w:p>
            <w:r>
              <w:t>Personified wording</w:t>
            </w:r>
          </w:p>
        </w:tc>
        <w:tc>
          <w:tcPr>
            <w:tcW w:type="dxa" w:w="2880"/>
          </w:tcPr>
          <w:p>
            <w:r>
              <w:t>Mara's exact authored reply is approved as one facet of personality/communicative style; Record 58 now reproduces it with bound proposition construction. Full psychometric-direction note is retained.</w:t>
            </w:r>
          </w:p>
        </w:tc>
        <w:tc>
          <w:tcPr>
            <w:tcW w:type="dxa" w:w="2880"/>
          </w:tcPr>
          <w:p>
            <w:r>
              <w:t>Finite grammar only; no trained output, admitted personified speaker task or general paraphrase proof. The earlier formal summary remains unapproved.</w:t>
            </w:r>
          </w:p>
        </w:tc>
      </w:tr>
      <w:tr>
        <w:tc>
          <w:tcPr>
            <w:tcW w:type="dxa" w:w="2880"/>
          </w:tcPr>
          <w:p>
            <w:r>
              <w:t>Data and models</w:t>
            </w:r>
          </w:p>
        </w:tc>
        <w:tc>
          <w:tcPr>
            <w:tcW w:type="dxa" w:w="2880"/>
          </w:tcPr>
          <w:p>
            <w:r>
              <w:t>Protected intent/source material, validated task preparation, a frozen byte-BPE reference, one bounded learned coordination adapter, an exact FP32 native shadow bundle and episode-level candidate intake exist.</w:t>
            </w:r>
          </w:p>
        </w:tc>
        <w:tc>
          <w:tcPr>
            <w:tcW w:type="dxa" w:w="2880"/>
          </w:tcPr>
          <w:p>
            <w:r>
              <w:t>The 190 historical choices and C77 tokenized preview retain their exclusions. Record 68 preserves one natural zero-decision episode but does not review, admit or train it. Record 67 proves export and consumer parity for the synthetic R66 family, not learned behavior authority or gameplay quality.</w:t>
            </w:r>
          </w:p>
        </w:tc>
      </w:tr>
      <w:tr>
        <w:tc>
          <w:tcPr>
            <w:tcW w:type="dxa" w:w="2880"/>
          </w:tcPr>
          <w:p>
            <w:r>
              <w:t>Verification</w:t>
            </w:r>
          </w:p>
        </w:tc>
        <w:tc>
          <w:tcPr>
            <w:tcW w:type="dxa" w:w="2880"/>
          </w:tcPr>
          <w:p>
            <w:r>
              <w:t>Expression/admission controls and contextual comparison revalidation preserve exact source evidence and separate judgment standing. See each implementation record.</w:t>
            </w:r>
          </w:p>
        </w:tc>
        <w:tc>
          <w:tcPr>
            <w:tcW w:type="dxa" w:w="2880"/>
          </w:tcPr>
          <w:p>
            <w:r>
              <w:t>Tests cover implemented contracts, not overall game readiness or learned quality.</w:t>
            </w:r>
          </w:p>
        </w:tc>
      </w:tr>
    </w:tbl>
    <w:p/>
    <w:p>
      <w:pPr>
        <w:pStyle w:val="Heading2"/>
      </w:pPr>
      <w:r>
        <w:t>What needs correction</w:t>
      </w:r>
    </w:p>
    <w:p/>
    <w:p>
      <w:r>
        <w:t>1. Current-state drift: SAO SESSION_STATE and ROADMAP still direct the next session toward Record 55 / C77 import, although Records 56-57 completed those example reviews. C77's post-deploy receipt also supersedes the preparation-time installation paragraph.</w:t>
      </w:r>
    </w:p>
    <w:p>
      <w:r>
        <w:t>2. Corrected in this unit: training/README now describes the actual fence scope. SAOFence checks membership of flat field/value pairs; it does not validate free sentence meaning, relationships between values, attribution, time or negation.</w:t>
      </w:r>
    </w:p>
    <w:p>
      <w:r>
        <w:t>3. Admission remains incomplete overall: the new explicit offline scope computes task-specific sample admission, dataset partitions and runtime standing separately. Understanding/retrieval samples qualify for evaluation; speaker examples and the combined dataset remain excluded. Historical conditioning and default APIs preserve their recorded ineligibility.</w:t>
      </w:r>
    </w:p>
    <w:p>
      <w:r>
        <w:t>4. Publication fragmentation: Record 57 used three PRs for implementation, revision and approval. Records 56-57 used five for one conversation. Separate judgments remain necessary; they need not each become a publication cycle.</w:t>
      </w:r>
    </w:p>
    <w:p>
      <w:r>
        <w:t>5. The source-summary renderer is a useful protected-source regression control. More variants of that renderer do not establish natural speaking.</w:t>
      </w:r>
    </w:p>
    <w:p>
      <w:r>
        <w:t>6. The expression proof now resolves participant names from the captured owner records. Native pressure/needs/bite availability, unsupported action-bearing understander frames and autonomous reading policy remain missing. No default may turn those missing values into observed game facts.</w:t>
      </w:r>
    </w:p>
    <w:p/>
    <w:p>
      <w:pPr>
        <w:pStyle w:val="Heading2"/>
      </w:pPr>
      <w:r>
        <w:t>Recommended next milestone</w:t>
      </w:r>
    </w:p>
    <w:p/>
    <w:p>
      <w:r>
        <w:t>Deliver a small, reproducible offline learned conversation experiment over multiple independent situations, with exact data standing, measurable errors and visible dialogue. Treat completion of each unit below as an observable result. Preserve the existing shared-base/typed-task architecture and its pure-Java deployment destination.</w:t>
      </w:r>
    </w:p>
    <w:p/>
    <w:tbl>
      <w:tblPr>
        <w:tblStyle w:val="TableGrid"/>
        <w:tblW w:type="auto" w:w="0"/>
        <w:tblLook w:firstColumn="1" w:firstRow="1" w:lastColumn="0" w:lastRow="0" w:noHBand="0" w:noVBand="1" w:val="04A0"/>
      </w:tblPr>
      <w:tblGrid>
        <w:gridCol w:w="2880"/>
        <w:gridCol w:w="2880"/>
        <w:gridCol w:w="2880"/>
      </w:tblGrid>
      <w:tr>
        <w:tc>
          <w:tcPr>
            <w:tcW w:type="dxa" w:w="2880"/>
          </w:tcPr>
          <w:p>
            <w:r>
              <w:t>Unit</w:t>
            </w:r>
          </w:p>
        </w:tc>
        <w:tc>
          <w:tcPr>
            <w:tcW w:type="dxa" w:w="2880"/>
          </w:tcPr>
          <w:p>
            <w:r>
              <w:t>Consolidated scope</w:t>
            </w:r>
          </w:p>
        </w:tc>
        <w:tc>
          <w:tcPr>
            <w:tcW w:type="dxa" w:w="2880"/>
          </w:tcPr>
          <w:p>
            <w:r>
              <w:t>Completion evidence</w:t>
            </w:r>
          </w:p>
        </w:tc>
      </w:tr>
      <w:tr>
        <w:tc>
          <w:tcPr>
            <w:tcW w:type="dxa" w:w="2880"/>
          </w:tcPr>
          <w:p>
            <w:r>
              <w:t>1. Admission and truthful constraints</w:t>
            </w:r>
          </w:p>
        </w:tc>
        <w:tc>
          <w:tcPr>
            <w:tcW w:type="dxa" w:w="2880"/>
          </w:tcPr>
          <w:p>
            <w:r>
              <w:t>Reconcile current docs; bind participant identity and conditioning provenance; distinguish source validity, task-label approval, experimental data admission and deployment readiness. Demonstrate how the chosen speaker representation constrains meaning.</w:t>
            </w:r>
          </w:p>
        </w:tc>
        <w:tc>
          <w:tcPr>
            <w:tcW w:type="dxa" w:w="2880"/>
          </w:tcPr>
          <w:p>
            <w:r>
              <w:t>A compiler admits only examples whose declared task requirements are met and gives specific reasons for every exclusion. Good personified cases and adversarial changes to subject, negation, date, reported/direct knowledge and causal uncertainty discriminate the speech constraint. Shared claim IDs alone cannot pass a false sentence.</w:t>
            </w:r>
          </w:p>
        </w:tc>
      </w:tr>
      <w:tr>
        <w:tc>
          <w:tcPr>
            <w:tcW w:type="dxa" w:w="2880"/>
          </w:tcPr>
          <w:p>
            <w:r>
              <w:t>2. Task data and reference learning</w:t>
            </w:r>
          </w:p>
        </w:tc>
        <w:tc>
          <w:tcPr>
            <w:tcW w:type="dxa" w:w="2880"/>
          </w:tcPr>
          <w:p>
            <w:r>
              <w:t>Build task datasets, immutable manifests, deterministic preparation, the shared byte-level tokenizer, task adapters, reference training and separate evaluators. Use multiple independently sourced scenes; retain Mara as a regression case.</w:t>
            </w:r>
          </w:p>
        </w:tc>
        <w:tc>
          <w:tcPr>
            <w:tcW w:type="dxa" w:w="2880"/>
          </w:tcPr>
          <w:p>
            <w:r>
              <w:t>One reproducible experimental run with saved inputs/configuration/seed, trained weights, held-out results, factual/interpretation/retrieval/voice failures and inspectable dialogue. Cases from one event/source lineage stay in one split. An overfit smoke test is labeled as such.</w:t>
            </w:r>
          </w:p>
        </w:tc>
      </w:tr>
      <w:tr>
        <w:tc>
          <w:tcPr>
            <w:tcW w:type="dxa" w:w="2880"/>
          </w:tcPr>
          <w:p>
            <w:r>
              <w:t>3. Native export and game consumption</w:t>
            </w:r>
          </w:p>
        </w:tc>
        <w:tc>
          <w:tcPr>
            <w:tcW w:type="dxa" w:w="2880"/>
          </w:tcPr>
          <w:p>
            <w:r>
              <w:t>Export the agreed native bundle; establish Python/reference-to-Java parity; implement immutable asynchronous requests and current-owner/revision revalidation at the real conversation path.</w:t>
            </w:r>
          </w:p>
        </w:tc>
        <w:tc>
          <w:tcPr>
            <w:tcW w:type="dxa" w:w="2880"/>
          </w:tcPr>
          <w:p>
            <w:r>
              <w:t>A compatible learned artifact changes an actual exchange; stale/foreign/malformed outputs refuse; task outputs and numeric tolerances match the reference; memory and latency are measured on the actual path. Loaded-world acceptance is reported separately from offline/startup checks.</w:t>
            </w:r>
          </w:p>
        </w:tc>
      </w:tr>
    </w:tbl>
    <w:p/>
    <w:p>
      <w:r>
        <w:t>Record 67 and SAO C82 complete the mechanical shadow portion of Unit 3: the</w:t>
      </w:r>
    </w:p>
    <w:p>
      <w:r>
        <w:t>exact bundle loads in the packaged Java consumer, all task/tokenizer vectors</w:t>
      </w:r>
    </w:p>
    <w:p>
      <w:r>
        <w:t>match, immutable requests are bounded, and returned observations survive only</w:t>
      </w:r>
    </w:p>
    <w:p>
      <w:r>
        <w:t>current process, response, option and execution-owner revalidation. They do not</w:t>
      </w:r>
    </w:p>
    <w:p>
      <w:r>
        <w:t>complete Unit 3's behavior-activation clause. The authoritative production</w:t>
      </w:r>
    </w:p>
    <w:p>
      <w:r>
        <w:t>response is formed first and is never revised by this candidate; loaded-world</w:t>
      </w:r>
    </w:p>
    <w:p>
      <w:r>
        <w:t>acceptance and a separate consequential activation review remain open.</w:t>
      </w:r>
    </w:p>
    <w:p/>
    <w:p>
      <w:r>
        <w:t>Record 68 and SAO C84 establish the baseline data loop needed before any late-</w:t>
      </w:r>
    </w:p>
    <w:p>
      <w:r>
        <w:t>start accelerator can be evaluated. A maximum-horizon county run owns all of</w:t>
      </w:r>
    </w:p>
    <w:p>
      <w:r>
        <w:t>its checkpoints, a fresh process must reproduce the complete result and the</w:t>
      </w:r>
    </w:p>
    <w:p>
      <w:r>
        <w:t>whole episode survives intake even when it has no decision. The first tracked</w:t>
      </w:r>
    </w:p>
    <w:p>
      <w:r>
        <w:t>30-day joint episode produced zero coordination rows, so it contributes no task</w:t>
      </w:r>
    </w:p>
    <w:p>
      <w:r>
        <w:t>or label. Broader R9 producers, multiple seeds, independent review and matched</w:t>
      </w:r>
    </w:p>
    <w:p>
      <w:r>
        <w:t>accelerator comparisons remain required; absence is not repaired with fixtures.</w:t>
      </w:r>
    </w:p>
    <w:p/>
    <w:p>
      <w:r>
        <w:t>Record 69 completes the interrupted C85 process-observation intake. Its sealed</w:t>
      </w:r>
    </w:p>
    <w:p>
      <w:r>
        <w:t>ten-day joint episode uses the published C85/A42 source, population 12 and the</w:t>
      </w:r>
    </w:p>
    <w:p>
      <w:r>
        <w:t>bodyless `--no-engine` source setting. Both fresh Kahlua runs match. The intake</w:t>
      </w:r>
    </w:p>
    <w:p>
      <w:r>
        <w:t>retains 27 matters, 36 addressed participant entries and 46 contact arrivals,</w:t>
      </w:r>
    </w:p>
    <w:p>
      <w:r>
        <w:t>with no reception or decision; it creates no task. The summary stays outside</w:t>
      </w:r>
    </w:p>
    <w:p>
      <w:r>
        <w:t>decision-time inputs and distinguishes unobserved legacy fields from observed</w:t>
      </w:r>
    </w:p>
    <w:p>
      <w:r>
        <w:t>absence. The next source dependency is grounded communication after an actual</w:t>
      </w:r>
    </w:p>
    <w:p>
      <w:r>
        <w:t>contact encounter, including bodyless hearing evidence, followed by independently</w:t>
      </w:r>
    </w:p>
    <w:p>
      <w:r>
        <w:t>reviewable decisions. Arrival alone cannot supply that evidence. Broader life</w:t>
      </w:r>
    </w:p>
    <w:p>
      <w:r>
        <w:t>producers and loaded-world acceptance remain open.</w:t>
      </w:r>
    </w:p>
    <w:p/>
    <w:p>
      <w:r>
        <w:t>ZAO A42 also supersedes the reduced-calorie description retained in Record 65:</w:t>
      </w:r>
    </w:p>
    <w:p>
      <w:r>
        <w:t>Crossed now use ordinary human caloric passage behind the ZAO owner. This source</w:t>
      </w:r>
    </w:p>
    <w:p>
      <w:r>
        <w:t>correction changes neither Speakeasy's generic pressure boundary nor the private</w:t>
      </w:r>
    </w:p>
    <w:p>
      <w:r>
        <w:t>status of diagnosis, diet, motive and pathogen state.</w:t>
      </w:r>
    </w:p>
    <w:p/>
    <w:p>
      <w:r>
        <w:t>Unit 1 must produce a bounded feasibility result before claiming general semantic safety. Free composition with arbitrary factual text is not solved by attaching a source reference or by adding a blacklist. If the ratified requirement cannot be realized by the candidate construction, surface the specific evidence and consequential design choice; do not quietly replace it with universal sentence templates.</w:t>
      </w:r>
    </w:p>
    <w:p/>
    <w:p>
      <w:r>
        <w:t>Task-data preparation and reference-model scaffolding can advance while the speaker mechanism is investigated. The roadmap already allows experimental data/model-format work alongside producer repair. This does not authorize relabeling the existing ineligible rows. Any experimental subset needs explicit, implemented requirements and retained limitations; complete game readiness remains separate.</w:t>
      </w:r>
    </w:p>
    <w:p/>
    <w:p>
      <w:pPr>
        <w:pStyle w:val="Heading2"/>
      </w:pPr>
      <w:r>
        <w:t>Personality and psychometric direction</w:t>
      </w:r>
    </w:p>
    <w:p/>
    <w:p>
      <w:r>
        <w:t>Use existing game-owned state as the causal input: effective disposition, history/lesson effects, carried conditions, listener-specific relationships and current strain. SAO Disposition already bends effective traits using history, lessons and conditions; Knowledge.conditioning exports those traits alongside conditions and relationship/moment channels. A condition label and a trait already altered by that condition must not be mistaken for independent measurements of its effect.</w:t>
      </w:r>
    </w:p>
    <w:p/>
    <w:p>
      <w:r>
        <w:t>Evaluate three distinct questions:</w:t>
      </w:r>
    </w:p>
    <w:p>
      <w:pPr>
        <w:pStyle w:val="ListBullet"/>
      </w:pPr>
      <w:r>
        <w:t>Person continuity: does the same person remain recognizable across situations?</w:t>
      </w:r>
    </w:p>
    <w:p>
      <w:pPr>
        <w:pStyle w:val="ListBullet"/>
      </w:pPr>
      <w:r>
        <w:t>Context response: does trust, work, threat or exhaustion change expression appropriately?</w:t>
      </w:r>
    </w:p>
    <w:p>
      <w:pPr>
        <w:pStyle w:val="ListBullet"/>
      </w:pPr>
      <w:r>
        <w:t>Knowledge integrity: does changed expression preserve what that person actually knows?</w:t>
      </w:r>
    </w:p>
    <w:p/>
    <w:p>
      <w:r>
        <w:t>Build reviewed contrasts holding facts constant while changing the relevant input. Use whole-scene review panels showing the person, situation, question, actual answer and learning consequence. Assess this as a game-grounded behavioral model; no validated psychological scale or new personality taxonomy is assumed.</w:t>
      </w:r>
    </w:p>
    <w:p/>
    <w:p>
      <w:pPr>
        <w:pStyle w:val="Heading2"/>
      </w:pPr>
      <w:r>
        <w:t>Broader simulation work remains owned</w:t>
      </w:r>
    </w:p>
    <w:p/>
    <w:p>
      <w:r>
        <w:t>R7-R9 mechanisms and R10b integration remain on the readiness path. Maintain a compact contract -&gt; producer -&gt; live/dormant caller -&gt; persistence/result -&gt; discriminating test -&gt; gap matrix for the active concern. Name which missing producer blocks the chosen ML experiment and which belongs to wider readiness.</w:t>
      </w:r>
    </w:p>
    <w:p/>
    <w:p>
      <w:r>
        <w:t>A controlled authored reading completion cannot establish autonomous reading. A bounded inventory view cannot establish household totals. A completed source interaction cannot establish all provisioning, medical, social or Crossed actions. Extend the mechanism when its absence blocks the current slice, and keep remaining obligations explicit. R15 stays behind a credible causal baseline and learned-runtime evidence.</w:t>
      </w:r>
    </w:p>
    <w:p/>
    <w:p>
      <w:pPr>
        <w:pStyle w:val="Heading2"/>
      </w:pPr>
      <w:r>
        <w:t>Execution discipline</w:t>
      </w:r>
    </w:p>
    <w:p/>
    <w:p>
      <w:pPr>
        <w:pStyle w:val="ListBullet"/>
      </w:pPr>
      <w:r>
        <w:t>Work in coherent capability units. Keep implementation, corrections, documentation and available review receipts together through validation; publish one completed unit through the governed PR route. Independent approval subjects stay independent inside that unit.</w:t>
      </w:r>
    </w:p>
    <w:p>
      <w:pPr>
        <w:pStyle w:val="ListBullet"/>
      </w:pPr>
      <w:r>
        <w:t>Reuse content-addressed evidence and append-only history. Consolidate the current navigation and continuation summary rather than rewrite old receipts or renumber batches.</w:t>
      </w:r>
    </w:p>
    <w:p>
      <w:pPr>
        <w:pStyle w:val="ListBullet"/>
      </w:pPr>
      <w:r>
        <w:t>Scope verification to changed contracts during development; run every repository-required gate at publication. Avoid repeated full gates on an unchanged tree. C77's recorded full gate took 1022.7 seconds, so this is a measured source of overhead; it does not explain all elapsed time.</w:t>
      </w:r>
    </w:p>
    <w:p>
      <w:pPr>
        <w:pStyle w:val="ListBullet"/>
      </w:pPr>
      <w:r>
        <w:t>Reserve UI panels for consequential behavior/voice choices. Batch independent examples into a narratively legible review session while independent implementation proceeds. Consume actual returns before recording standing.</w:t>
      </w:r>
    </w:p>
    <w:p>
      <w:pPr>
        <w:pStyle w:val="ListBullet"/>
      </w:pPr>
      <w:r>
        <w:t>Keep working changes in the active worktree. Preserve the original Speakeasy checkout's pre-existing RECORD edits and SAO's local audit receipts.</w:t>
      </w:r>
    </w:p>
    <w:p>
      <w:pPr>
        <w:pStyle w:val="ListBullet"/>
      </w:pPr>
      <w:r>
        <w:t>At unit start state the behavior being delivered, why it advances the project and what will settle it. During work report changed understanding and blockers. At close report usable capability, verification, limits and the next dependency.</w:t>
      </w:r>
    </w:p>
    <w:p>
      <w:pPr>
        <w:pStyle w:val="ListBullet"/>
      </w:pPr>
      <w:r>
        <w:t>Track progress by eligible independent scenes, reproducible runs, task errors, grounded/personified dialogue, actual runtime consumption and measured cost. PR count, artifact count and test count describe activity, not completion.</w:t>
      </w:r>
    </w:p>
    <w:p/>
    <w:p>
      <w:pPr>
        <w:pStyle w:val="Heading2"/>
      </w:pPr>
      <w:r>
        <w:t>Evidence consulted</w:t>
      </w:r>
    </w:p>
    <w:p/>
    <w:p>
      <w:pPr>
        <w:pStyle w:val="ListBullet"/>
      </w:pPr>
      <w:r>
        <w:t>SAO: NEO.md, GOVERNANCE.md, CORE.md, SESSION_STATE.md, ROADMAP.md, MEMORY.md, SPEECH_ML_DESIGN.md, ARCHITECTURE.md and the C77 closure receipt.</w:t>
      </w:r>
    </w:p>
    <w:p>
      <w:pPr>
        <w:pStyle w:val="ListBullet"/>
      </w:pPr>
      <w:r>
        <w:t>Mechanisms: SAOFence.java; SAO_Disposition.lua and SAO_Knowledge.lua; Speakeasy conversation_tasks.py, speaker_tasks.py and retriever_targets.py.</w:t>
      </w:r>
    </w:p>
    <w:p>
      <w:pPr>
        <w:pStyle w:val="ListBullet"/>
      </w:pPr>
      <w:r>
        <w:t>Speakeasy: training/ARCHITECTURE.md, training/README.md, voice material, exact C77 understander and speaker indexes, recent merged Git history.</w:t>
      </w:r>
    </w:p>
    <w:p>
      <w:pPr>
        <w:pStyle w:val="ListBullet"/>
      </w:pPr>
      <w:r>
        <w:t>The R completion summary follows canonical records. This planning pass did not re-audit every simulation producer or repeat live-play acceptance.</w:t>
      </w:r>
    </w:p>
    <w:p/>
    <w:p>
      <w:pPr>
        <w:pStyle w:val="Heading2"/>
      </w:pPr>
      <w:r>
        <w:t>Active implementation unit</w:t>
      </w:r>
    </w:p>
    <w:p/>
    <w:p>
      <w:r>
        <w:t>Record 62 consumes all four C78 judgments. The trust and threat comparisons need</w:t>
      </w:r>
    </w:p>
    <w:p>
      <w:r>
        <w:t>revision, the lesson alternatives are both accepted with a stiffness caveat, and</w:t>
      </w:r>
    </w:p>
    <w:p>
      <w:r>
        <w:t>strain B is preferred with a similar caveat. The exact notes and their limits are</w:t>
      </w:r>
    </w:p>
    <w:p>
      <w:r>
        <w:t>preserved in [the returned review](behavior/c78/REVIEW.md). The next source/data</w:t>
      </w:r>
    </w:p>
    <w:p>
      <w:r>
        <w:t>experiment must vary evidenced priorities and competing activity, including</w:t>
      </w:r>
    </w:p>
    <w:p>
      <w:r>
        <w:t>attention and action where their actual owners can supply them. Warning-versus-</w:t>
      </w:r>
    </w:p>
    <w:p>
      <w:r>
        <w:t>answer ordering alone does not satisfy the requested gradient. Existing input</w:t>
      </w:r>
    </w:p>
    <w:p>
      <w:r>
        <w:t>contains listener trust/debt/hostility, but does not establish familiarity.</w:t>
      </w:r>
    </w:p>
    <w:p>
      <w:r>
        <w:t>The linked review defines the producer audit and completion checks; no new</w:t>
      </w:r>
    </w:p>
    <w:p>
      <w:r>
        <w:t>priority weights, automatic phrase mappings or training admission are inferred.</w:t>
      </w:r>
    </w:p>
    <w:p/>
    <w:p>
      <w:r>
        <w:t>Record 63 resolves the missing evidence shape for enacted social coordination,</w:t>
      </w:r>
    </w:p>
    <w:p>
      <w:r>
        <w:t>without retroactively enriching the bodyless C78 family. SAO decision evidence</w:t>
      </w:r>
    </w:p>
    <w:p>
      <w:r>
        <w:t>now freezes the recipient's response before its return channel and can address</w:t>
      </w:r>
    </w:p>
    <w:p>
      <w:r>
        <w:t>an earlier proposal revision after later revision. The version 3 reader requires</w:t>
      </w:r>
    </w:p>
    <w:p>
      <w:r>
        <w:t>exactly run, county, person, event and hour. The coordination task view requires</w:t>
      </w:r>
    </w:p>
    <w:p>
      <w:r>
        <w:t>source owners for current activity, capabilities, competing pressure, relationship,</w:t>
      </w:r>
    </w:p>
    <w:p>
      <w:r>
        <w:t>interests and constraints, and keeps return-channel/work results in a later</w:t>
      </w:r>
    </w:p>
    <w:p>
      <w:r>
        <w:t>horizon. Same-moment ZAO pathogen truth is excluded from decision input; Crossed</w:t>
      </w:r>
    </w:p>
    <w:p>
      <w:r>
        <w:t>effects arrive through the registered ZAO executor. The compiler marks every row</w:t>
      </w:r>
    </w:p>
    <w:p>
      <w:r>
        <w:t>as a candidate observation with task-review and learned-runtime exclusions. SAO's</w:t>
      </w:r>
    </w:p>
    <w:p>
      <w:r>
        <w:t>controlled production border emitted 13 rows; ZAO preserved all full namespaces</w:t>
      </w:r>
    </w:p>
    <w:p>
      <w:r>
        <w:t>and this compiler accepted all 13, including every response kind and one completed</w:t>
      </w:r>
    </w:p>
    <w:p>
      <w:r>
        <w:t>work result. No loaded scene or approved dataset row was produced.</w:t>
      </w:r>
    </w:p>
    <w:p/>
    <w:p>
      <w:r>
        <w:t>Record 64 supersedes Record 63's statement that living Afflicted execution is</w:t>
      </w:r>
    </w:p>
    <w:p>
      <w:r>
        <w:t>SAO-owned. Survivors remain under SAO execution; both Afflicted and Crossed</w:t>
      </w:r>
    </w:p>
    <w:p>
      <w:r>
        <w:t>living human shells are ZAO-owned and report `ZAO.Driver` as executor. They do</w:t>
      </w:r>
    </w:p>
    <w:p>
      <w:r>
        <w:t>not gain shared action policy merely because they share that execution owner.</w:t>
      </w:r>
    </w:p>
    <w:p>
      <w:r>
        <w:t>ZAO may expose a generic, source-owned competing pressure without exposing its</w:t>
      </w:r>
    </w:p>
    <w:p>
      <w:r>
        <w:t>satisfier or the person's condition. Source evidence carries pressure</w:t>
      </w:r>
    </w:p>
    <w:p>
      <w:r>
        <w:t>availability independently from its numeric slot. The task compiler masks an</w:t>
      </w:r>
    </w:p>
    <w:p>
      <w:r>
        <w:t>unavailable value to null and refuses private terminal-state, form, pathogen,</w:t>
      </w:r>
    </w:p>
    <w:p>
      <w:r>
        <w:t>diagnosis and diet labels. Same-moment ZAO state remains audit-only, so</w:t>
      </w:r>
    </w:p>
    <w:p>
      <w:r>
        <w:t>ownership cannot be used to infer which condition a person has.</w:t>
      </w:r>
    </w:p>
    <w:p/>
    <w:p>
      <w:r>
        <w:t>Record 65 binds that privacy boundary to the mechanisms now implemented in ZAO.</w:t>
      </w:r>
    </w:p>
    <w:p>
      <w:r>
        <w:t>Afflicted people retain water and state-specific food/protein maintenance;</w:t>
      </w:r>
    </w:p>
    <w:p>
      <w:r>
        <w:t>Crossed people retain reduced caloric pressure plus a separate predatory</w:t>
      </w:r>
    </w:p>
    <w:p>
      <w:r>
        <w:t>pressure whose relief depends on observed fear, pain or control. Those mechanisms</w:t>
      </w:r>
    </w:p>
    <w:p>
      <w:r>
        <w:t>remain distinct behind their shared execution owner. Speakeasy may receive only</w:t>
      </w:r>
    </w:p>
    <w:p>
      <w:r>
        <w:t>the current source-owned pressure value and availability needed to represent a</w:t>
      </w:r>
    </w:p>
    <w:p>
      <w:r>
        <w:t>competing priority. It must not turn that generic evidence into a diagnosis,</w:t>
      </w:r>
    </w:p>
    <w:p>
      <w:r>
        <w:t>satisfier, diet category, predatory act or future outcome.</w:t>
      </w:r>
    </w:p>
    <w:p/>
    <w:p>
      <w:r>
        <w:t>Record 66 completes the first approved learning slice over the coordination</w:t>
      </w:r>
    </w:p>
    <w:p>
      <w:r>
        <w:t>path. Exact Git-object import binds SAO C81 and the current ZAO projector; 20</w:t>
      </w:r>
    </w:p>
    <w:p>
      <w:r>
        <w:t>synthetic production rows received one exact Mousecat response-kind review and</w:t>
      </w:r>
    </w:p>
    <w:p>
      <w:r>
        <w:t>divide into disjoint 10/5/5 source lineages. The trained reference consumes only</w:t>
      </w:r>
    </w:p>
    <w:p>
      <w:r>
        <w:t>decision-time proposal, reception, current work, generic source-owned pressure,</w:t>
      </w:r>
    </w:p>
    <w:p>
      <w:r>
        <w:t>relationships, interests, constraints, capabilities and feasible options.</w:t>
      </w:r>
    </w:p>
    <w:p>
      <w:r>
        <w:t>Explicit actor-kind/pathogen records, route names, authored choice and later</w:t>
      </w:r>
    </w:p>
    <w:p>
      <w:r>
        <w:t>outcomes remain outside input; current execution and pressure provenance remain</w:t>
      </w:r>
    </w:p>
    <w:p>
      <w:r>
        <w:t>inside it. The sealed run reproduces all five observed response kinds on all three</w:t>
      </w:r>
    </w:p>
    <w:p>
      <w:r>
        <w:t>partitions; initialization and permuted-label controls do not. Decline and</w:t>
      </w:r>
    </w:p>
    <w:p>
      <w:r>
        <w:t>withdraw remain unsupported because the family contains neither. This closes a</w:t>
      </w:r>
    </w:p>
    <w:p>
      <w:r>
        <w:t>bounded offline learnability question, not native consumption or gameplay quality.</w:t>
      </w:r>
    </w:p>
    <w:p/>
    <w:p>
      <w:r>
        <w:t>Admission and speech constraints remains the broader active unit. Coordination</w:t>
      </w:r>
    </w:p>
    <w:p>
      <w:r>
        <w:t>source validity, exact response-kind approval, bounded task admission and a</w:t>
      </w:r>
    </w:p>
    <w:p>
      <w:r>
        <w:t>reference evaluation now have separate implemented checks. Existing ineligible</w:t>
      </w:r>
    </w:p>
    <w:p>
      <w:r>
        <w:t>examples retain their standing; speaker semantic breadth, independent natural</w:t>
      </w:r>
    </w:p>
    <w:p>
      <w:r>
        <w:t>scenes, native export and runtime readiness remain open.</w:t>
      </w:r>
    </w:p>
    <w:p/>
    <w:tbl>
      <w:tblPr>
        <w:tblStyle w:val="TableGrid"/>
        <w:tblW w:type="auto" w:w="0"/>
        <w:tblLook w:firstColumn="1" w:firstRow="1" w:lastColumn="0" w:lastRow="0" w:noHBand="0" w:noVBand="1" w:val="04A0"/>
      </w:tblPr>
      <w:tblGrid>
        <w:gridCol w:w="2880"/>
        <w:gridCol w:w="2880"/>
        <w:gridCol w:w="2880"/>
      </w:tblGrid>
      <w:tr>
        <w:tc>
          <w:tcPr>
            <w:tcW w:type="dxa" w:w="2880"/>
          </w:tcPr>
          <w:p>
            <w:r>
              <w:t>Work</w:t>
            </w:r>
          </w:p>
        </w:tc>
        <w:tc>
          <w:tcPr>
            <w:tcW w:type="dxa" w:w="2880"/>
          </w:tcPr>
          <w:p>
            <w:r>
              <w:t>Owner and boundary</w:t>
            </w:r>
          </w:p>
        </w:tc>
        <w:tc>
          <w:tcPr>
            <w:tcW w:type="dxa" w:w="2880"/>
          </w:tcPr>
          <w:p>
            <w:r>
              <w:t>Completion test</w:t>
            </w:r>
          </w:p>
        </w:tc>
      </w:tr>
      <w:tr>
        <w:tc>
          <w:tcPr>
            <w:tcW w:type="dxa" w:w="2880"/>
          </w:tcPr>
          <w:p>
            <w:r>
              <w:t>Participant and conditioning input</w:t>
            </w:r>
          </w:p>
        </w:tc>
        <w:tc>
          <w:tcPr>
            <w:tcW w:type="dxa" w:w="2880"/>
          </w:tcPr>
          <w:p>
            <w:r>
              <w:t>Speakeasy task input resolves exact captured identity; SAO remains the producer of relationships, disposition and native state</w:t>
            </w:r>
          </w:p>
        </w:tc>
        <w:tc>
          <w:tcPr>
            <w:tcW w:type="dxa" w:w="2880"/>
          </w:tcPr>
          <w:p>
            <w:r>
              <w:t>Known identity is carried explicitly; unknown names and missing native state cannot be silently supplied</w:t>
            </w:r>
          </w:p>
        </w:tc>
      </w:tr>
      <w:tr>
        <w:tc>
          <w:tcPr>
            <w:tcW w:type="dxa" w:w="2880"/>
          </w:tcPr>
          <w:p>
            <w:r>
              <w:t>Task admission</w:t>
            </w:r>
          </w:p>
        </w:tc>
        <w:tc>
          <w:tcPr>
            <w:tcW w:type="dxa" w:w="2880"/>
          </w:tcPr>
          <w:p>
            <w:r>
              <w:t>Speakeasy dataset compiler uses required inputs for each declared task and experimental scope</w:t>
            </w:r>
          </w:p>
        </w:tc>
        <w:tc>
          <w:tcPr>
            <w:tcW w:type="dxa" w:w="2880"/>
          </w:tcPr>
          <w:p>
            <w:r>
              <w:t>Valid input is admitted; false provenance, unapproved labels, unsupported required fields and source leakage refuse with specific reasons</w:t>
            </w:r>
          </w:p>
        </w:tc>
      </w:tr>
      <w:tr>
        <w:tc>
          <w:tcPr>
            <w:tcW w:type="dxa" w:w="2880"/>
          </w:tcPr>
          <w:p>
            <w:r>
              <w:t>Speaker meaning constraint</w:t>
            </w:r>
          </w:p>
        </w:tc>
        <w:tc>
          <w:tcPr>
            <w:tcW w:type="dxa" w:w="2880"/>
          </w:tcPr>
          <w:p>
            <w:r>
              <w:t>Speakeasy representation and SAO consumer contract agree about supported factual expression</w:t>
            </w:r>
          </w:p>
        </w:tc>
        <w:tc>
          <w:tcPr>
            <w:tcW w:type="dxa" w:w="2880"/>
          </w:tcPr>
          <w:p>
            <w:r>
              <w:t>Meaning changes involving attribution, subject, negation, date or cause fail while supported personified expression passes</w:t>
            </w:r>
          </w:p>
        </w:tc>
      </w:tr>
      <w:tr>
        <w:tc>
          <w:tcPr>
            <w:tcW w:type="dxa" w:w="2880"/>
          </w:tcPr>
          <w:p>
            <w:r>
              <w:t>Data preparation</w:t>
            </w:r>
          </w:p>
        </w:tc>
        <w:tc>
          <w:tcPr>
            <w:tcW w:type="dxa" w:w="2880"/>
          </w:tcPr>
          <w:p>
            <w:r>
              <w:t>Multiple independent source/scene lineages, task-specific labels and shared frozen tokenizer preparation</w:t>
            </w:r>
          </w:p>
        </w:tc>
        <w:tc>
          <w:tcPr>
            <w:tcW w:type="dxa" w:w="2880"/>
          </w:tcPr>
          <w:p>
            <w:r>
              <w:t>Deterministic output and lineage-separated splits; no invented hard negatives or rewritten historical eligibility</w:t>
            </w:r>
          </w:p>
        </w:tc>
      </w:tr>
      <w:tr>
        <w:tc>
          <w:tcPr>
            <w:tcW w:type="dxa" w:w="2880"/>
          </w:tcPr>
          <w:p>
            <w:r>
              <w:t>Documentation</w:t>
            </w:r>
          </w:p>
        </w:tc>
        <w:tc>
          <w:tcPr>
            <w:tcW w:type="dxa" w:w="2880"/>
          </w:tcPr>
          <w:p>
            <w:r>
              <w:t>Current state and guarantee descriptions follow demonstrated implementation</w:t>
            </w:r>
          </w:p>
        </w:tc>
        <w:tc>
          <w:tcPr>
            <w:tcW w:type="dxa" w:w="2880"/>
          </w:tcPr>
          <w:p>
            <w:r>
              <w:t>Current references reach completed Records 56-57 and the active unit; field checks are described at their actual scope</w:t>
            </w:r>
          </w:p>
        </w:tc>
      </w:tr>
    </w:tbl>
    <w:p/>
    <w:p>
      <w:r>
        <w:t>The scope is underway; no row in this table is a completion claim. Keep</w:t>
      </w:r>
    </w:p>
    <w:p>
      <w:r>
        <w:t>implementation, corrections and this ruling in the same publication unit.</w:t>
      </w:r>
    </w:p>
    <w:p/>
    <w:p>
      <w:pPr>
        <w:pStyle w:val="Heading3"/>
      </w:pPr>
      <w:r>
        <w:t>Approved proof completed; broader unit continues</w:t>
      </w:r>
    </w:p>
    <w:p/>
    <w:p>
      <w:r>
        <w:t>The operator approved work plan `conversation-admission-proof-001` through</w:t>
      </w:r>
    </w:p>
    <w:p>
      <w:r>
        <w:t>`skill-1269923d11820cf8` without qualifications. Its [result report](experiments/expression-proof/README.md)</w:t>
      </w:r>
    </w:p>
    <w:p>
      <w:r>
        <w:t>and [saved ruling](direction/admission-work-plan-result.json) accompany the</w:t>
      </w:r>
    </w:p>
    <w:p>
      <w:r>
        <w:t>implementation in Record 58. Exact Mara wording is supported, subject/source/time</w:t>
      </w:r>
    </w:p>
    <w:p>
      <w:r>
        <w:t>substitutions refuse, and experimental admission has executable checks. The</w:t>
      </w:r>
    </w:p>
    <w:p>
      <w:r>
        <w:t>finite proof grammar and synthetic contrasts do not complete learned speech or</w:t>
      </w:r>
    </w:p>
    <w:p>
      <w:r>
        <w:t>provide an independently partitioned approved dataset.</w:t>
      </w:r>
    </w:p>
    <w:p/>
    <w:p>
      <w:r>
        <w:t>Record 59 now carries the bound propositions into a version 4 speaker task and</w:t>
      </w:r>
    </w:p>
    <w:p>
      <w:r>
        <w:t>deterministic per-task data preparation. Its [task review](speaker/BOUND_EXAMPLE.md)</w:t>
      </w:r>
    </w:p>
    <w:p>
      <w:r>
        <w:t>preserves the already-approved wording. The exact source/situation/answer review</w:t>
      </w:r>
    </w:p>
    <w:p>
      <w:r>
        <w:t>returned **revision requested**, with direction to emphasize existing personality,</w:t>
      </w:r>
    </w:p>
    <w:p>
      <w:r>
        <w:t>emotion, thought, adaptation and purposeful communication. [Exact standing](speaker/c77-bound-example.json)</w:t>
      </w:r>
    </w:p>
    <w:p>
      <w:r>
        <w:t>and the [prepared data](datasets/c77-preparation/README.md) govern current</w:t>
      </w:r>
    </w:p>
    <w:p>
      <w:r>
        <w:t>inclusion; the revised task request remains excluded. The full 121-test suite and protected</w:t>
      </w:r>
    </w:p>
    <w:p>
      <w:r>
        <w:t>conditioning audit pass, and both saved proof and data preview reproduce.</w:t>
      </w:r>
    </w:p>
    <w:p/>
    <w:p>
      <w:r>
        <w:t>The [personality source audit and revised sequence](speaker/PERSONALITY_REVISION.md)</w:t>
      </w:r>
    </w:p>
    <w:p>
      <w:r>
        <w:t>map the existing producers and capture gaps. C78 and Record 60 now supply the</w:t>
      </w:r>
    </w:p>
    <w:p>
      <w:r>
        <w:t>[first person-state comparison family](behavior/c78/README.md), with current</w:t>
      </w:r>
    </w:p>
    <w:p>
      <w:r>
        <w:t>source-owned temperament, conditions, relationships, threat, cognitive</w:t>
      </w:r>
    </w:p>
    <w:p>
      <w:r>
        <w:t>projections and learning provenance. Four contextual preferences are presented</w:t>
      </w:r>
    </w:p>
    <w:p>
      <w:r>
        <w:t>with their literal alternatives and exact source evidence. Current standing is</w:t>
      </w:r>
    </w:p>
    <w:p>
      <w:r>
        <w:t>in `behavior/c78/review-standing.json`; it must be read before claiming a ruling.</w:t>
      </w:r>
    </w:p>
    <w:p>
      <w:r>
        <w:t>The loaded read API has controlled boundary tests, while this bodyless family</w:t>
      </w:r>
    </w:p>
    <w:p>
      <w:r>
        <w:t>explicitly lacks native needs, current work, movement goals and complete options.</w:t>
      </w:r>
    </w:p>
    <w:p>
      <w:r>
        <w:t>The next source expansion needs those states in independent situations. Mara</w:t>
      </w:r>
    </w:p>
    <w:p>
      <w:r>
        <w:t>remains a factual regression case; the unchanged answer is not up for review.</w:t>
      </w:r>
    </w:p>
    <w:p/>
    <w:p>
      <w:r>
        <w:t>Record 61 implements the shared byte-level tokenizer and reproduces a tokenized</w:t>
      </w:r>
    </w:p>
    <w:p>
      <w:r>
        <w:t>preview of the existing understanding/retrieval examples. It preserves exact</w:t>
      </w:r>
    </w:p>
    <w:p>
      <w:r>
        <w:t>text bytes, fits only the training partition and retains retrieval masks. The</w:t>
      </w:r>
    </w:p>
    <w:p>
      <w:r>
        <w:t>speaker task and combined dataset remain excluded. The four C78 behavior</w:t>
      </w:r>
    </w:p>
    <w:p>
      <w:r>
        <w:t>judgments remain independent and contribute no text to vocabulary fitting.</w:t>
      </w:r>
    </w:p>
    <w:p>
      <w:r>
        <w:t>See [the exact artifact contract and reproduction](datasets/c77-tokenization/README.md).</w:t>
      </w:r>
    </w:p>
    <w:p/>
    <w:p>
      <w:r>
        <w:t>Broader supported meanings, independent source scenes, Java token parity and the</w:t>
      </w:r>
    </w:p>
    <w:p>
      <w:r>
        <w:t>reference-learning pipeline remain dependencies. A trained run follows usable</w:t>
      </w:r>
    </w:p>
    <w:p>
      <w:r>
        <w:t>task data and evaluation partitions; native integration follows reference</w:t>
      </w:r>
    </w:p>
    <w:p>
      <w:r>
        <w:t>evidence. The source audit is read-only and does not establish loaded-world</w:t>
      </w:r>
    </w:p>
    <w:p>
      <w:r>
        <w:t>coverage. This revision does not change the ratified shared-base architecture.</w:t>
      </w:r>
    </w:p>
    <w:p/>
    <w:p>
      <w:pPr>
        <w:pStyle w:val="Heading3"/>
      </w:pPr>
      <w:r>
        <w:t>First experiment completed</w:t>
      </w:r>
    </w:p>
    <w:p/>
    <w:p>
      <w:r>
        <w:t>The [speech-constraint Field Test](experiments/speech-constraints/README.md)</w:t>
      </w:r>
    </w:p>
    <w:p>
      <w:r>
        <w:t>executes 18 cases against both the actual Java fence source and packaged jar,</w:t>
      </w:r>
    </w:p>
    <w:p>
      <w:r>
        <w:t>plus eight cases against the speaker renderer. It observes field-membership</w:t>
      </w:r>
    </w:p>
    <w:p>
      <w:r>
        <w:t>correctness, loss of cross-claim associations, absent prose semantics and</w:t>
      </w:r>
    </w:p>
    <w:p>
      <w:r>
        <w:t>refusal of the approved personified wording by the exact-summary renderer.</w:t>
      </w:r>
    </w:p>
    <w:p>
      <w:r>
        <w:t>Both deliberately corrupted reporting controls fail, and two runs reproduce</w:t>
      </w:r>
    </w:p>
    <w:p>
      <w:r>
        <w:t>identical sealed results. This establishes current coverage; it does not close</w:t>
      </w:r>
    </w:p>
    <w:p>
      <w:r>
        <w:t>the decoder or admission work and requires no operator approval of the facts.</w:t>
      </w:r>
    </w:p>
    <w:p/>
    <w:p/>
    <w:p>
      <w:pPr>
        <w:pStyle w:val="Heading2"/>
      </w:pPr>
      <w:r>
        <w:t>Educational task and personal export: Record 82</w:t>
      </w:r>
    </w:p>
    <w:p/>
    <w:p>
      <w:r>
        <w:t>The measured answer adapter freezes the shared base and fits only its residual</w:t>
      </w:r>
    </w:p>
    <w:p>
      <w:r>
        <w:t>answer parameters on complete source-family training inputs. Source answers and</w:t>
      </w:r>
    </w:p>
    <w:p>
      <w:r>
        <w:t>EOS supply training masks; held-out solutions remain evaluator-owned. The fixed</w:t>
      </w:r>
    </w:p>
    <w:p>
      <w:r>
        <w:t>candidate scores 38/187 on test against 43/187 for the untrained seed and zero</w:t>
      </w:r>
    </w:p>
    <w:p>
      <w:r>
        <w:t>of 49 numeric validation questions. Larger context and capacity require a new</w:t>
      </w:r>
    </w:p>
    <w:p>
      <w:r>
        <w:t>training-only sizing measurement and a fixed new candidate. Previously observed</w:t>
      </w:r>
    </w:p>
    <w:p>
      <w:r>
        <w:t>question families retain exploratory status for later comparisons.</w:t>
      </w:r>
    </w:p>
    <w:p/>
    <w:p>
      <w:r>
        <w:t>Runtime prior version 2 preserves original source learning states and exact</w:t>
      </w:r>
    </w:p>
    <w:p>
      <w:r>
        <w:t>policy/time/context custody. The bounded registry reconstructs each explicit</w:t>
      </w:r>
    </w:p>
    <w:p>
      <w:r>
        <w:t>profile, schooling history and ledger before packaging. Existing game canonical</w:t>
      </w:r>
    </w:p>
    <w:p>
      <w:r>
        <w:t>world-definition hashes bind source rows; formatting changes do not change that</w:t>
      </w:r>
    </w:p>
    <w:p>
      <w:r>
        <w:t>identity. Independent current-world pins govern later native restoration.</w:t>
      </w:r>
    </w:p>
    <w:p>
      <w:r>
        <w:t>Ordinary cognition and opposing associative discovery receive detached personal</w:t>
      </w:r>
    </w:p>
    <w:p>
      <w:r>
        <w:t>views while retaining independent prediction and outcome ownership. Conceptual</w:t>
      </w:r>
    </w:p>
    <w:p>
      <w:r>
        <w:t>school knowledge, observed county facts, native skills and operating recipes</w:t>
      </w:r>
    </w:p>
    <w:p>
      <w:r>
        <w:t>have their existing source owners. Game-object/action mapping and demonstrated</w:t>
      </w:r>
    </w:p>
    <w:p>
      <w:r>
        <w:t>educated behavior remain open.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