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Shared foundation references</w:t>
      </w:r>
    </w:p>
    <w:p/>
    <w:p>
      <w:r>
        <w:t>Speakeasy owns the source-derived training data, fitted reference weights,</w:t>
      </w:r>
    </w:p>
    <w:p>
      <w:r>
        <w:t>automatic learner evaluation and native export. Each reference preserves its</w:t>
      </w:r>
    </w:p>
    <w:p>
      <w:r>
        <w:t>exact configuration, frozen tokenizer, source-family partition and measured</w:t>
      </w:r>
    </w:p>
    <w:p>
      <w:r>
        <w:t>results. SAO owns native inference, asynchronous scheduling, current-state</w:t>
      </w:r>
    </w:p>
    <w:p>
      <w:r>
        <w:t>revalidation and durable personal learning.</w:t>
      </w:r>
    </w:p>
    <w:p/>
    <w:p>
      <w:r>
        <w:t>The first [measured reference](r81-reference/README.md) contains academic and</w:t>
      </w:r>
    </w:p>
    <w:p>
      <w:r>
        <w:t>cultural pre-training. The [Record 82 answer adapter](r82-reference/README.md) has measured weak</w:t>
      </w:r>
    </w:p>
    <w:p>
      <w:r>
        <w:t>question performance and a source-bound personal prior export. Native personal</w:t>
      </w:r>
    </w:p>
    <w:p>
      <w:r>
        <w:t>attachment and consequential task activation retain separate SAO evidence. The independent associative model</w:t>
      </w:r>
    </w:p>
    <w:p>
      <w:r>
        <w:t>keeps its own prediction and outcome history.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