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Decision-time knowledge and authored proposals</w:t>
      </w:r>
    </w:p>
    <w:p>
      <w:r>
        <w:t>tools/decision_authoring.py compiles a versioned knowledge view and a separate choice proposal over a frozen event. Version 1 is an evidence preparation surface. It preserves source approval, records supplied acquisition evidence, and leaves extraction, evidence adjudication and choice ratification explicit. Every output remains conditioning-ineligible.</w:t>
      </w:r>
    </w:p>
    <w:p>
      <w:pPr>
        <w:pStyle w:val="Heading1"/>
      </w:pPr>
      <w:r>
        <w:t>Inputs and identity</w:t>
      </w:r>
    </w:p>
    <w:p>
      <w:r>
        <w:t>The capture input is a version 3 SAO decision row, JSONL containing those rows, a native C65 sao-source-decision-event version 1, or the containing sao-source-decision-capture version 1. A source capture must be observed, complete and free of capture failures. Unavailable county-sweep coverage supplies no event. Raw C65 events retain their runtime choice and result in the input; the authoring view exposes the frozen person, situation and offered options. Later results and the runtime choice do not become authoring context.</w:t>
      </w:r>
    </w:p>
    <w:p>
      <w:r>
        <w:t>The full (runId, county, personId, eventId, hour) namespace is preserved. Native C65 nested identities must agree. Options retain their owner, parameters and eligibility evidence, including acquisition/storage operations. Their IDs alone are insufficient: a proposal binds the complete selected descriptor hash. The original v3 row admission is shared with the cross-module join, including its citation and already-enriched-context refusals. Both adapters reject added pathogen state, visible-form lists and prior join provenance before copying context. Native option actors, private evidence actors/source revisions and current admission/inspection hours must agree with their event. Semantic namespace keys treat county hour 24 and 24.0 as the same moment; raw event hashes still preserve their different bytes.</w:t>
      </w:r>
    </w:p>
    <w:p>
      <w:r>
        <w:t>The compiler hashes the raw event, complete input files, protected manifest, individual claims and resulting content. JSON object keys are sorted and UTF-8 is encoded without extra whitespace; contentSha256 hashes the complete object before that field is added. Duplicate JSON keys and non-finite numbers refuse. Original bytes are also hashed separately, so formatting changes remain visible.</w:t>
      </w:r>
    </w:p>
    <w:p>
      <w:pPr>
        <w:pStyle w:val="Heading1"/>
      </w:pPr>
      <w:r>
        <w:t>Knowledge input version 1</w:t>
      </w:r>
    </w:p>
    <w:p>
      <w:r>
        <w:t>A speakeasy-knowledge-input object has exactly these fields:</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Meaning</w:t>
            </w:r>
          </w:p>
        </w:tc>
      </w:tr>
      <w:tr>
        <w:tc>
          <w:tcPr>
            <w:tcW w:type="dxa" w:w="4968"/>
          </w:tcPr>
          <w:p>
            <w:r>
              <w:t>schema, schemaVersion</w:t>
            </w:r>
          </w:p>
        </w:tc>
        <w:tc>
          <w:tcPr>
            <w:tcW w:type="dxa" w:w="4968"/>
          </w:tcPr>
          <w:p>
            <w:r>
              <w:t>speakeasy-knowledge-input, 1</w:t>
            </w:r>
          </w:p>
        </w:tc>
      </w:tr>
      <w:tr>
        <w:tc>
          <w:tcPr>
            <w:tcW w:type="dxa" w:w="4968"/>
          </w:tcPr>
          <w:p>
            <w:r>
              <w:t>namespace, eventSha256</w:t>
            </w:r>
          </w:p>
        </w:tc>
        <w:tc>
          <w:tcPr>
            <w:tcW w:type="dxa" w:w="4968"/>
          </w:tcPr>
          <w:p>
            <w:r>
              <w:t>Exact frozen event identity and canonical-content hash</w:t>
            </w:r>
          </w:p>
        </w:tc>
      </w:tr>
      <w:tr>
        <w:tc>
          <w:tcPr>
            <w:tcW w:type="dxa" w:w="4968"/>
          </w:tcPr>
          <w:p>
            <w:r>
              <w:t>calendar</w:t>
            </w:r>
          </w:p>
        </w:tc>
        <w:tc>
          <w:tcPr>
            <w:tcW w:type="dxa" w:w="4968"/>
          </w:tcPr>
          <w:p>
            <w:r>
              <w:t>anchorHour, anchorAt, horizonHour, evidence</w:t>
            </w:r>
          </w:p>
        </w:tc>
      </w:tr>
      <w:tr>
        <w:tc>
          <w:tcPr>
            <w:tcW w:type="dxa" w:w="4968"/>
          </w:tcPr>
          <w:p>
            <w:r>
              <w:t>claims</w:t>
            </w:r>
          </w:p>
        </w:tc>
        <w:tc>
          <w:tcPr>
            <w:tcW w:type="dxa" w:w="4968"/>
          </w:tcPr>
          <w:p>
            <w:r>
              <w:t>Explicitly extracted approved-document claims</w:t>
            </w:r>
          </w:p>
        </w:tc>
      </w:tr>
      <w:tr>
        <w:tc>
          <w:tcPr>
            <w:tcW w:type="dxa" w:w="4968"/>
          </w:tcPr>
          <w:p>
            <w:r>
              <w:t>acquisitions</w:t>
            </w:r>
          </w:p>
        </w:tc>
        <w:tc>
          <w:tcPr>
            <w:tcW w:type="dxa" w:w="4968"/>
          </w:tcPr>
          <w:p>
            <w:r>
              <w:t>Supplied person-specific acquisition and retention evidence</w:t>
            </w:r>
          </w:p>
        </w:tc>
      </w:tr>
    </w:tbl>
    <w:p>
      <w:r>
        <w:t>anchorAt is a complete YYYY-MM-DDTHH:MM:SS local game-calendar instant. anchorHour is the corresponding canonical county hour. The compiler applies that exact mapping to acquired hours and the person's supplied horizon hour. It never derives availability from a year alone. The horizon cannot exceed the event hour and researched knowledge stops at December 31, 1993. The mapping's evidence reference names the supplying owner, record ID and SHA-256.</w:t>
      </w:r>
    </w:p>
    <w:p>
      <w:r>
        <w:t>A claim has id, literal text, confidence, knowableAt, literal carrier, acquisitionRules and source. Rules name one or more of read, heard, lived, told. The source has its repository-relative path, full-byte sha256, one-based line, and excerptSha256 of that line's UTF-8 text without its newline. The source must match a protected approved-knowledge document. The exact text, carrier and confidence must occur on the cited line. LOW material is excluded and cannot be promoted through a changed confidence field.</w:t>
      </w:r>
    </w:p>
    <w:p>
      <w:r>
        <w:t>Extraction is still unreviewed. A source line can contain several facts, dates and carrier qualifications: document approval alone does not approve a new claim boundary or prove its knowableAt. The compiler checks declared temporal availability and preserves that distinction in every view. The example in world/claim-examples/minimum-wage.json identifies a real approved excerpt with acquisition explicitly unknown; it is not a person-knowledge record.</w:t>
      </w:r>
    </w:p>
    <w:p>
      <w:r>
        <w:t>Each acquisition has exactly these fields:</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Required evidence</w:t>
            </w:r>
          </w:p>
        </w:tc>
      </w:tr>
      <w:tr>
        <w:tc>
          <w:tcPr>
            <w:tcW w:type="dxa" w:w="4968"/>
          </w:tcPr>
          <w:p>
            <w:r>
              <w:t>claimId, claimSha256</w:t>
            </w:r>
          </w:p>
        </w:tc>
        <w:tc>
          <w:tcPr>
            <w:tcW w:type="dxa" w:w="4968"/>
          </w:tcPr>
          <w:p>
            <w:r>
              <w:t>The exact extracted claim</w:t>
            </w:r>
          </w:p>
        </w:tc>
      </w:tr>
      <w:tr>
        <w:tc>
          <w:tcPr>
            <w:tcW w:type="dxa" w:w="4968"/>
          </w:tcPr>
          <w:p>
            <w:r>
              <w:t>namespace</w:t>
            </w:r>
          </w:p>
        </w:tc>
        <w:tc>
          <w:tcPr>
            <w:tcW w:type="dxa" w:w="4968"/>
          </w:tcPr>
          <w:p>
            <w:r>
              <w:t>Full decision namespace for the person receiving this knowledge view</w:t>
            </w:r>
          </w:p>
        </w:tc>
      </w:tr>
      <w:tr>
        <w:tc>
          <w:tcPr>
            <w:tcW w:type="dxa" w:w="4968"/>
          </w:tcPr>
          <w:p>
            <w:r>
              <w:t>acquiredHour</w:t>
            </w:r>
          </w:p>
        </w:tc>
        <w:tc>
          <w:tcPr>
            <w:tcW w:type="dxa" w:w="4968"/>
          </w:tcPr>
          <w:p>
            <w:r>
              <w:t>Actual acquisition time in the same county clock; may precede hour zero</w:t>
            </w:r>
          </w:p>
        </w:tc>
      </w:tr>
      <w:tr>
        <w:tc>
          <w:tcPr>
            <w:tcW w:type="dxa" w:w="4968"/>
          </w:tcPr>
          <w:p>
            <w:r>
              <w:t>asOfHour, retained</w:t>
            </w:r>
          </w:p>
        </w:tc>
        <w:tc>
          <w:tcPr>
            <w:tcW w:type="dxa" w:w="4968"/>
          </w:tcPr>
          <w:p>
            <w:r>
              <w:t>Explicit retention observation at the decision hour</w:t>
            </w:r>
          </w:p>
        </w:tc>
      </w:tr>
      <w:tr>
        <w:tc>
          <w:tcPr>
            <w:tcW w:type="dxa" w:w="4968"/>
          </w:tcPr>
          <w:p>
            <w:r>
              <w:t>path</w:t>
            </w:r>
          </w:p>
        </w:tc>
        <w:tc>
          <w:tcPr>
            <w:tcW w:type="dxa" w:w="4968"/>
          </w:tcPr>
          <w:p>
            <w:r>
              <w:t>A path admitted by the claim's acquisition rules</w:t>
            </w:r>
          </w:p>
        </w:tc>
      </w:tr>
      <w:tr>
        <w:tc>
          <w:tcPr>
            <w:tcW w:type="dxa" w:w="4968"/>
          </w:tcPr>
          <w:p>
            <w:r>
              <w:t>checks</w:t>
            </w:r>
          </w:p>
        </w:tc>
        <w:tc>
          <w:tcPr>
            <w:tcW w:type="dxa" w:w="4968"/>
          </w:tcPr>
          <w:p>
            <w:r>
              <w:t>age, carrier, access, retention, each with status and evidence</w:t>
            </w:r>
          </w:p>
        </w:tc>
      </w:tr>
      <w:tr>
        <w:tc>
          <w:tcPr>
            <w:tcW w:type="dxa" w:w="4968"/>
          </w:tcPr>
          <w:p>
            <w:r>
              <w:t>evidence</w:t>
            </w:r>
          </w:p>
        </w:tc>
        <w:tc>
          <w:tcPr>
            <w:tcW w:type="dxa" w:w="4968"/>
          </w:tcPr>
          <w:p>
            <w:r>
              <w:t>Nonempty acquisition references</w:t>
            </w:r>
          </w:p>
        </w:tc>
      </w:tr>
    </w:tbl>
    <w:p>
      <w:r>
        <w:t>Each reference has owner, recordId, sha256. A check's status is supported, unsupported or unknown; supported checks require references. An access check covers the actual modality and relevant literacy/hearing or testimony constraints. Carrier and age checks refer to this person's supported history at the event; retention covers later decay or loss. An acquisition producer owns those records. This tool does not generate them, infer them from occupation, or verify external reference bytes that were not supplied.</w:t>
      </w:r>
    </w:p>
    <w:p>
      <w:r>
        <w:t>Only exact-person/exact-event, nonfuture, retained acquisitions with all four checks supported enter availableClaims. The view labels their acquisition evidence unadjudicated. All others produce a claim ID/hash and exclusion reason, without including excluded claim text. Empty claims/acquisitions are valid and preserve the lack of evidence. Missing or unknown evidence does not become proof that the person lacks the knowledge in reality.</w:t>
      </w:r>
    </w:p>
    <w:p>
      <w:pPr>
        <w:pStyle w:val="Heading1"/>
      </w:pPr>
      <w:r>
        <w:t>Choice request and proposal</w:t>
      </w:r>
    </w:p>
    <w:p>
      <w:r>
        <w:t>A speakeasy-choice-request version 1 has namespace, eventSha256, knowledgeViewSha256, optionId, optionSha256, author and rationale. author has kind (human or model), id, version and promptSha256. For a human author, the last two fields identify the authoring procedure and instructions. The rationale is authored text, not verified factual evidence.</w:t>
      </w:r>
    </w:p>
    <w:p>
      <w:r>
        <w:t>Proposal construction recompiles the view from its inputs and compares the whole result before accepting the request. A namespace change, stale input, changed option descriptor or altered view refuses publication. The output is a new speakeasy-choice-proposal with approval.status: unratified. The request cannot supply approval fields. A proposal never replaces the captured runtime choice or any protected approved choice.</w:t>
      </w:r>
    </w:p>
    <w:p>
      <w:r>
        <w:t>The tool prepares reviewable proposals. It has no ratification authority or training admission path. A separately authorized ratification mechanism and real acquisition exports are remaining work; this version supplies neither through a status toggle.</w:t>
      </w:r>
    </w:p>
    <w:p>
      <w:pPr>
        <w:pStyle w:val="Heading1"/>
      </w:pPr>
      <w:r>
        <w:t>Operation and verification</w:t>
      </w:r>
    </w:p>
    <w:p>
      <w:r>
        <w:t xml:space="preserve">text python tools/decision_authoring.py inspect --capture capture.json python tools/decision_authoring.py view --capture capture.json --knowledge knowledge.json --out view.json python tools/decision_authoring.py propose --capture capture.json --knowledge knowledge.json --view view.json --request request.json --out proposal.json python tools/test_decision_authoring.py python tools/test_cross_module_rows.py python tools/audit_conditioning.py </w:t>
      </w:r>
    </w:p>
    <w:p>
      <w:r>
        <w:t>inspect prints the validated namespaces, event hashes and complete option hashes needed to prepare the two inputs. It creates no files. The view command prints its resulting content hash for the separate choice request.</w:t>
      </w:r>
    </w:p>
    <w:p>
      <w:r>
        <w:t>All inputs and protected hashes validate before output publication. Outputs cannot replace an input, protected artifact or protected manifest. Publication uses the existing atomic sibling-file replacement and preserves previous bytes when validation or replacement fails. Controls use explicitly synthetic acquisition records and real protected-document excerpts; they are not a new county corpus. Historical approved choices retain their existing hashes and conditioning exclusions.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