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Learned runtime and training architecture</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Status</w:t>
            </w:r>
          </w:p>
        </w:tc>
        <w:tc>
          <w:tcPr>
            <w:tcW w:type="dxa" w:w="4968"/>
          </w:tcPr>
          <w:p>
            <w:r>
              <w:t>RATIFIED 2026-09-21 through Mousecat Mass Assault</w:t>
            </w:r>
          </w:p>
        </w:tc>
      </w:tr>
      <w:tr>
        <w:tc>
          <w:tcPr>
            <w:tcW w:type="dxa" w:w="4968"/>
          </w:tcPr>
          <w:p>
            <w:r>
              <w:t>Timestamp</w:t>
            </w:r>
          </w:p>
        </w:tc>
        <w:tc>
          <w:tcPr>
            <w:tcW w:type="dxa" w:w="4968"/>
          </w:tcPr>
          <w:p>
            <w:r>
              <w:t>2026-09-21 08:50 UTC / 01:50 PST</w:t>
            </w:r>
          </w:p>
        </w:tc>
      </w:tr>
      <w:tr>
        <w:tc>
          <w:tcPr>
            <w:tcW w:type="dxa" w:w="4968"/>
          </w:tcPr>
          <w:p>
            <w:r>
              <w:t>Interaction</w:t>
            </w:r>
          </w:p>
        </w:tc>
        <w:tc>
          <w:tcPr>
            <w:tcW w:type="dxa" w:w="4968"/>
          </w:tcPr>
          <w:p>
            <w:r>
              <w:t>skill-e6acce0f301ef127</w:t>
            </w:r>
          </w:p>
        </w:tc>
      </w:tr>
      <w:tr>
        <w:tc>
          <w:tcPr>
            <w:tcW w:type="dxa" w:w="4968"/>
          </w:tcPr>
          <w:p>
            <w:r>
              <w:t>Owner</w:t>
            </w:r>
          </w:p>
        </w:tc>
        <w:tc>
          <w:tcPr>
            <w:tcW w:type="dxa" w:w="4968"/>
          </w:tcPr>
          <w:p>
            <w:r>
              <w:t>Speakeasy owns data, training, reference inference and export; SAO owns the in-game consumer, current-state revalidation and durable runtime state</w:t>
            </w:r>
          </w:p>
        </w:tc>
      </w:tr>
      <w:tr>
        <w:tc>
          <w:tcPr>
            <w:tcW w:type="dxa" w:w="4968"/>
          </w:tcPr>
          <w:p>
            <w:r>
              <w:t>Scope</w:t>
            </w:r>
          </w:p>
        </w:tc>
        <w:tc>
          <w:tcPr>
            <w:tcW w:type="dxa" w:w="4968"/>
          </w:tcPr>
          <w:p>
            <w:r>
              <w:t>The learned retrieval, understanding and speaking path that follows the version 3 decision and knowledge contracts</w:t>
            </w:r>
          </w:p>
        </w:tc>
      </w:tr>
    </w:tbl>
    <w:p>
      <w:r>
        <w:t>This contract resolves the model shape that the earlier speech design left open. It does not make any existing row training-eligible. The first person-specific R12 example still needs one preserved native event, its county calendar, and that same person's acquired, accessible and retained knowledge at the decision.</w:t>
      </w:r>
    </w:p>
    <w:p>
      <w:pPr>
        <w:pStyle w:val="Heading1"/>
      </w:pPr>
      <w:r>
        <w:t>One base, typed tasks</w:t>
      </w:r>
    </w:p>
    <w:p>
      <w:r>
        <w:t>The first runtime bundle has one shared base model with task-specific adapters. The understander and speaker remain different learned functions with different typed contracts and separate evaluation. They share base weights and a tokenizer; an adapter route is explicit in every request and result. A failure in one task cannot be interpreted as a result from another.</w:t>
      </w:r>
    </w:p>
    <w:p>
      <w:r>
        <w:t>The learned retriever is a third learned function in the bundle. Its exact weight sharing is set by measured model size, latency and retrieval quality before model dimensions are fixed. It uses the same tokenizer and bundle version and cannot become a separate service or an unversioned runtime dependency.</w:t>
      </w:r>
    </w:p>
    <w:p>
      <w:pPr>
        <w:pStyle w:val="Heading1"/>
      </w:pPr>
      <w:r>
        <w:t>Understander contract</w:t>
      </w:r>
    </w:p>
    <w:p>
      <w:r>
        <w:t>The understander consumes player text, the listener identity, the current conversation target, and the bounded current context supplied for that decision. It emits a typed semantic frame:</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Meaning</w:t>
            </w:r>
          </w:p>
        </w:tc>
      </w:tr>
      <w:tr>
        <w:tc>
          <w:tcPr>
            <w:tcW w:type="dxa" w:w="4968"/>
          </w:tcPr>
          <w:p>
            <w:r>
              <w:t>speechAct</w:t>
            </w:r>
          </w:p>
        </w:tc>
        <w:tc>
          <w:tcPr>
            <w:tcW w:type="dxa" w:w="4968"/>
          </w:tcPr>
          <w:p>
            <w:r>
              <w:t>question, statement, request, offer or threat</w:t>
            </w:r>
          </w:p>
        </w:tc>
      </w:tr>
      <w:tr>
        <w:tc>
          <w:tcPr>
            <w:tcW w:type="dxa" w:w="4968"/>
          </w:tcPr>
          <w:p>
            <w:r>
              <w:t>claimRefs</w:t>
            </w:r>
          </w:p>
        </w:tc>
        <w:tc>
          <w:tcPr>
            <w:tcW w:type="dxa" w:w="4968"/>
          </w:tcPr>
          <w:p>
            <w:r>
              <w:t>claim identifiers the utterance refers to</w:t>
            </w:r>
          </w:p>
        </w:tc>
      </w:tr>
      <w:tr>
        <w:tc>
          <w:tcPr>
            <w:tcW w:type="dxa" w:w="4968"/>
          </w:tcPr>
          <w:p>
            <w:r>
              <w:t>requestedAction</w:t>
            </w:r>
          </w:p>
        </w:tc>
        <w:tc>
          <w:tcPr>
            <w:tcW w:type="dxa" w:w="4968"/>
          </w:tcPr>
          <w:p>
            <w:r>
              <w:t>the requested executable action or null</w:t>
            </w:r>
          </w:p>
        </w:tc>
      </w:tr>
      <w:tr>
        <w:tc>
          <w:tcPr>
            <w:tcW w:type="dxa" w:w="4968"/>
          </w:tcPr>
          <w:p>
            <w:r>
              <w:t>stance</w:t>
            </w:r>
          </w:p>
        </w:tc>
        <w:tc>
          <w:tcPr>
            <w:tcW w:type="dxa" w:w="4968"/>
          </w:tcPr>
          <w:p>
            <w:r>
              <w:t>the utterance's directed social stance</w:t>
            </w:r>
          </w:p>
        </w:tc>
      </w:tr>
      <w:tr>
        <w:tc>
          <w:tcPr>
            <w:tcW w:type="dxa" w:w="4968"/>
          </w:tcPr>
          <w:p>
            <w:r>
              <w:t>uncertainty</w:t>
            </w:r>
          </w:p>
        </w:tc>
        <w:tc>
          <w:tcPr>
            <w:tcW w:type="dxa" w:w="4968"/>
          </w:tcPr>
          <w:p>
            <w:r>
              <w:t>the model's uncertainty for the frame</w:t>
            </w:r>
          </w:p>
        </w:tc>
      </w:tr>
      <w:tr>
        <w:tc>
          <w:tcPr>
            <w:tcW w:type="dxa" w:w="4968"/>
          </w:tcPr>
          <w:p>
            <w:r>
              <w:t>listenerRef</w:t>
            </w:r>
          </w:p>
        </w:tc>
        <w:tc>
          <w:tcPr>
            <w:tcW w:type="dxa" w:w="4968"/>
          </w:tcPr>
          <w:p>
            <w:r>
              <w:t>the intended listener identity</w:t>
            </w:r>
          </w:p>
        </w:tc>
      </w:tr>
    </w:tbl>
    <w:p>
      <w:r>
        <w:t>Every identifier is checked against the immutable input snapshot. Unknown claim, action or listener references refuse the frame. A semantic frame changes no belief, relationship or action by itself; the existing communication and action owners decide what an admitted frame does.</w:t>
      </w:r>
    </w:p>
    <w:p>
      <w:pPr>
        <w:pStyle w:val="Heading1"/>
      </w:pPr>
      <w:r>
        <w:t>Learned knowledge retrieval</w:t>
      </w:r>
    </w:p>
    <w:p>
      <w:r>
        <w:t>Each inference begins with the person's own current claim catalogue. The learned retriever selects a bounded set of claim identifiers for the current utterance and situation. The runtime then supplies the selected claims with their provenance, age, uncertainty and access evidence. Retrieval never creates claim text or authorizes a claim absent from the person's catalogue.</w:t>
      </w:r>
    </w:p>
    <w:p>
      <w:r>
        <w:t>Retrieval quality is measured separately from model fluency. Omitted relevant claims are observable retrieval misses. A retrieved claim whose current access, retention or identity no longer validates is removed before the understander or speaker can use it.</w:t>
      </w:r>
    </w:p>
    <w:p>
      <w:pPr>
        <w:pStyle w:val="Heading1"/>
      </w:pPr>
      <w:r>
        <w:t>Bounded model memory</w:t>
      </w:r>
    </w:p>
    <w:p>
      <w:r>
        <w:t>The runtime keeps a bounded, versioned per-person model cache across decisions. This is a second memory owner and therefore has an explicit save, load, invalidation and eviction contract. The cache is bound to person identity, model bundle version and the person's current knowledge revision. A mismatched, unreadable or unsupported cache is discarded without changing the person's SAO claims or relationships.</w:t>
      </w:r>
    </w:p>
    <w:p>
      <w:r>
        <w:t>The cache may influence continuity, attention and wording. It does not authorize a fact or executable action. Any fact-bearing output still names current claim identifiers and passes the claim fence; any action still names a current option and passes revalidation. Cache bounds are chosen from measured save size, memory and latency evidence rather than guessed here.</w:t>
      </w:r>
    </w:p>
    <w:p>
      <w:pPr>
        <w:pStyle w:val="Heading1"/>
      </w:pPr>
      <w:r>
        <w:t>Speaker conditioning and fence</w:t>
      </w:r>
    </w:p>
    <w:p>
      <w:r>
        <w:t>The speaker receives selected claims plus typed temperament, trust, situation and energy channels. Deterministic register floors remain outside the learned output: hostility limits disclosure, guardedness limits length, grief does not become casual chat, threat permits one short sentence and no question back, work permits only what the work needs, and an exhausted person does not chat.</w:t>
      </w:r>
    </w:p>
    <w:p>
      <w:r>
        <w:t>The speaker decodes through SAO's claim fence. Structural tokens and factual slots can refer only to admitted claim identifiers. Learned wording is free inside that boundary; the model cache and retriever cannot widen it.</w:t>
      </w:r>
    </w:p>
    <w:p>
      <w:pPr>
        <w:pStyle w:val="Heading1"/>
      </w:pPr>
      <w:r>
        <w:t>Frozen tokenizer</w:t>
      </w:r>
    </w:p>
    <w:p>
      <w:r>
        <w:t>All learned tasks use one frozen byte-level subword vocabulary with reserved structural tokens for schemas, claim references and fenced slots. Its bytes and normalization rules are part of the bundle identity. Arbitrary player text is lossless at the byte boundary; an unknown word or name cannot become an unknown token that the understander silently drops. Training and pure-Java inference must produce identical token sequences before a model is compared.</w:t>
      </w:r>
    </w:p>
    <w:p>
      <w:pPr>
        <w:pStyle w:val="Heading1"/>
      </w:pPr>
      <w:r>
        <w:t>Separate task datasets</w:t>
      </w:r>
    </w:p>
    <w:p>
      <w:r>
        <w:t>The understander and speaker train from separate datasets. Each dataset owns its schema, snapshot, provenance, splits, exclusions and evaluation receipts. Neither is a lossy projection whose standing is inherited from the other.</w:t>
      </w:r>
    </w:p>
    <w:p>
      <w:r>
        <w:t>When rows in the two datasets refer to the same county event, each retains the full version 3 namespace and immutable event, option and claim references. The build compares those shared references and refuses contradictory identity, calendar, source or standing. Task-specific fields may differ; the facts they cite may not silently drift.</w:t>
      </w:r>
    </w:p>
    <w:p>
      <w:r>
        <w:t>The understander dataset maps utterances and current context to typed semantic frames. The speaker dataset maps admitted claims, semantic intent and typed voice conditioning to fenced expression. Approval in one dataset does not approve a row in the other.</w:t>
      </w:r>
    </w:p>
    <w:p>
      <w:pPr>
        <w:pStyle w:val="Heading1"/>
      </w:pPr>
      <w:r>
        <w:t>Runtime scheduling</w:t>
      </w:r>
    </w:p>
    <w:p>
      <w:r>
        <w:t>Inference runs asynchronously from an immutable decision snapshot. The snapshot binds person, listener, event, claims, executable options, permissions, bundle version and current revisions. No model result mutates the world from the worker.</w:t>
      </w:r>
    </w:p>
    <w:p>
      <w:r>
        <w:t>When a result returns, SAO revalidates the exact identities, claims, options, permissions and current owner state. A stale or failed result is withheld. A new decision may take a new snapshot; the old result is never relabelled as current.</w:t>
      </w:r>
    </w:p>
    <w:p>
      <w:pPr>
        <w:pStyle w:val="Heading1"/>
      </w:pPr>
      <w:r>
        <w:t>Versioned native bundle</w:t>
      </w:r>
    </w:p>
    <w:p>
      <w:r>
        <w:t>Speakeasy exports one SAO/Speakeasy bundle for the pure-Java consumer. Its manifest binds:</w:t>
      </w:r>
    </w:p>
    <w:p>
      <w:pPr>
        <w:pStyle w:val="ListBullet"/>
      </w:pPr>
      <w:r>
        <w:t>bundle, schema and model versions;</w:t>
      </w:r>
    </w:p>
    <w:p>
      <w:pPr>
        <w:pStyle w:val="ListBullet"/>
      </w:pPr>
      <w:r>
        <w:t>tokenizer bytes and reserved structural tokens;</w:t>
      </w:r>
    </w:p>
    <w:p>
      <w:pPr>
        <w:pStyle w:val="ListBullet"/>
      </w:pPr>
      <w:r>
        <w:t>shared base weights and every task adapter;</w:t>
      </w:r>
    </w:p>
    <w:p>
      <w:pPr>
        <w:pStyle w:val="ListBullet"/>
      </w:pPr>
      <w:r>
        <w:t>retriever artifact and index contract;</w:t>
      </w:r>
    </w:p>
    <w:p>
      <w:pPr>
        <w:pStyle w:val="ListBullet"/>
      </w:pPr>
      <w:r>
        <w:t>numerical precision and quantization parameters;</w:t>
      </w:r>
    </w:p>
    <w:p>
      <w:pPr>
        <w:pStyle w:val="ListBullet"/>
      </w:pPr>
      <w:r>
        <w:t>understander and speaker dataset snapshots;</w:t>
      </w:r>
    </w:p>
    <w:p>
      <w:pPr>
        <w:pStyle w:val="ListBullet"/>
      </w:pPr>
      <w:r>
        <w:t>source, training and evaluation provenance;</w:t>
      </w:r>
    </w:p>
    <w:p>
      <w:pPr>
        <w:pStyle w:val="ListBullet"/>
      </w:pPr>
      <w:r>
        <w:t>compatibility requirements for the SAO consumer.</w:t>
      </w:r>
    </w:p>
    <w:p>
      <w:r>
        <w:t>Every component is content-hashed. The consumer refuses missing, extra, unsupported or mismatched components before inference. ONNX is not the first authoritative interchange and no external inference runtime is required.</w:t>
      </w:r>
    </w:p>
    <w:p>
      <w:pPr>
        <w:pStyle w:val="Heading1"/>
      </w:pPr>
      <w:r>
        <w:t>Precision and candidate admission</w:t>
      </w:r>
    </w:p>
    <w:p>
      <w:r>
        <w:t>FP32 is the reference model. INT8 is a deployment candidate measured against the reference for typed-output parity, retrieval behavior, fenced speaking, stale result refusal, memory and latency. Compression has no standing merely because it loads or runs faster.</w:t>
      </w:r>
    </w:p>
    <w:p>
      <w:r>
        <w:t>A runtime candidate first passes the mechanical contracts: schema and bundle integrity, reference parity, claim-bound output, executable-reference validity, cache reconstruction, stale-state rejection and the measured in-game budget. Human review is the final gate for usefulness, voice and conversational quality. It cannot waive a failed mechanical contract. The reviewed artifact and its exact receipts are the artifact admitted for runtime evaluation.</w:t>
      </w:r>
    </w:p>
    <w:p>
      <w:pPr>
        <w:pStyle w:val="Heading1"/>
      </w:pPr>
      <w:r>
        <w:t>Work this contract unlocks</w:t>
      </w:r>
    </w:p>
    <w:p>
      <w:r>
        <w:t>The immediate producer remains the R12 person-specific example. After eligible examples exist, Speakeasy can build the two task datasets, frozen tokenizer, reference pipeline and native bundle writer. SAO can build a bundle reader and snapshot/revalidation harness before a trained candidate exists. Model dimensions, cache bounds, worker concurrency, INT8 tolerances and the human-review rubric stay evidence-driven and are fixed only by their respective measurements.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