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and cultural foundation</w:t>
      </w:r>
    </w:p>
    <w:p/>
    <w:p>
      <w:r>
        <w:t>Speakeasy owns source acquisition, source-family partitions, reference training,</w:t>
      </w:r>
    </w:p>
    <w:p>
      <w:r>
        <w:t>automatic model assessment and export. The combined catalogue contains 47</w:t>
      </w:r>
    </w:p>
    <w:p>
      <w:r>
        <w:t>academic books and 16 public-domain cultural and language books. Publisher</w:t>
      </w:r>
    </w:p>
    <w:p>
      <w:r>
        <w:t>archives retain their original bytes, rights evidence, source versions, assets</w:t>
      </w:r>
    </w:p>
    <w:p>
      <w:r>
        <w:t>and extraction limits. Automated admission reconstructs the entire prepared</w:t>
      </w:r>
    </w:p>
    <w:p>
      <w:r>
        <w:t>text and source/data evaluation receipt.</w:t>
      </w:r>
    </w:p>
    <w:p/>
    <w:p>
      <w:r>
        <w:t>The academic curriculum supplies readings, examples and exercises from</w:t>
      </w:r>
    </w:p>
    <w:p>
      <w:r>
        <w:t>kindergarten through college. Literature, fables, political and economic writing,</w:t>
      </w:r>
    </w:p>
    <w:p>
      <w:r>
        <w:t>philosophy and historical cultural texts supply additional language and conceptual</w:t>
      </w:r>
    </w:p>
    <w:p>
      <w:r>
        <w:t>material. This collection supplies prerequisite training material. Source</w:t>
      </w:r>
    </w:p>
    <w:p>
      <w:r>
        <w:t>integrity checks and learner performance are separate measurements.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Produced state</w:t>
            </w:r>
          </w:p>
        </w:tc>
      </w:tr>
      <w:tr>
        <w:tc>
          <w:tcPr>
            <w:tcW w:type="dxa" w:w="4320"/>
          </w:tcPr>
          <w:p>
            <w:r>
              <w:t>`education_corpus.py`</w:t>
            </w:r>
          </w:p>
        </w:tc>
        <w:tc>
          <w:tcPr>
            <w:tcW w:type="dxa" w:w="4320"/>
          </w:tcPr>
          <w:p>
            <w:r>
              <w:t>Immutable publisher archive, exact passages and automatic source/data admission.</w:t>
            </w:r>
          </w:p>
        </w:tc>
      </w:tr>
      <w:tr>
        <w:tc>
          <w:tcPr>
            <w:tcW w:type="dxa" w:w="4320"/>
          </w:tcPr>
          <w:p>
            <w:r>
              <w:t>`education_training_data.py`</w:t>
            </w:r>
          </w:p>
        </w:tc>
        <w:tc>
          <w:tcPr>
            <w:tcW w:type="dxa" w:w="4320"/>
          </w:tcPr>
          <w:p>
            <w:r>
              <w:t>Explicit whole-source family partitions and next-token targets under the supplied frozen tokenizer.</w:t>
            </w:r>
          </w:p>
        </w:tc>
      </w:tr>
      <w:tr>
        <w:tc>
          <w:tcPr>
            <w:tcW w:type="dxa" w:w="4320"/>
          </w:tcPr>
          <w:p>
            <w:r>
              <w:t>`foundation_pretraining.py`</w:t>
            </w:r>
          </w:p>
        </w:tc>
        <w:tc>
          <w:tcPr>
            <w:tcW w:type="dxa" w:w="4320"/>
          </w:tcPr>
          <w:p>
            <w:r>
              <w:t>Compact reconstructable token blocks, FP32 learned weights, optimizer state, loss trace, same-seed baseline and saved-weight held-out measurements.</w:t>
            </w:r>
          </w:p>
        </w:tc>
      </w:tr>
      <w:tr>
        <w:tc>
          <w:tcPr>
            <w:tcW w:type="dxa" w:w="4320"/>
          </w:tcPr>
          <w:p>
            <w:r>
              <w:t>`education_assessment.py`</w:t>
            </w:r>
          </w:p>
        </w:tc>
        <w:tc>
          <w:tcPr>
            <w:tcW w:type="dxa" w:w="4320"/>
          </w:tcPr>
          <w:p>
            <w:r>
              <w:t>Source-bound questions, evaluator-owned answers, supported automatic grades and reconstructed source-family isolation.</w:t>
            </w:r>
          </w:p>
        </w:tc>
      </w:tr>
      <w:tr>
        <w:tc>
          <w:tcPr>
            <w:tcW w:type="dxa" w:w="4320"/>
          </w:tcPr>
          <w:p>
            <w:r>
              <w:t>`foundation_assessment.py`</w:t>
            </w:r>
          </w:p>
        </w:tc>
        <w:tc>
          <w:tcPr>
            <w:tcW w:type="dxa" w:w="4320"/>
          </w:tcPr>
          <w:p>
            <w:r>
              <w:t>Answer-free model prompts, actual generated responses from saved weights and the same untrained seed, grades and coverage.</w:t>
            </w:r>
          </w:p>
        </w:tc>
      </w:tr>
      <w:tr>
        <w:tc>
          <w:tcPr>
            <w:tcW w:type="dxa" w:w="4320"/>
          </w:tcPr>
          <w:p>
            <w:r>
              <w:t>`education_backgrounds.py`, `education_curriculum.py`</w:t>
            </w:r>
          </w:p>
        </w:tc>
        <w:tc>
          <w:tcPr>
            <w:tcW w:type="dxa" w:w="4320"/>
          </w:tcPr>
          <w:p>
            <w:r>
              <w:t>Reconstructed regional schooling and person-specific dated exposure.</w:t>
            </w:r>
          </w:p>
        </w:tc>
      </w:tr>
      <w:tr>
        <w:tc>
          <w:tcPr>
            <w:tcW w:type="dxa" w:w="4320"/>
          </w:tcPr>
          <w:p>
            <w:r>
              <w:t>`education_learning.py`</w:t>
            </w:r>
          </w:p>
        </w:tc>
        <w:tc>
          <w:tcPr>
            <w:tcW w:type="dxa" w:w="4320"/>
          </w:tcPr>
          <w:p>
            <w:r>
              <w:t>Person-bound evidence replay, retention, transfer, tutoring, passive exposure, decay and bounded prior export.</w:t>
            </w:r>
          </w:p>
        </w:tc>
      </w:tr>
    </w:tbl>
    <w:p/>
    <w:p>
      <w:pPr>
        <w:pStyle w:val="Heading2"/>
      </w:pPr>
      <w:r>
        <w:t>Reference model</w:t>
      </w:r>
    </w:p>
    <w:p/>
    <w:p>
      <w:r>
        <w:t>The reference is a pre-normalized causal transformer with token and position</w:t>
      </w:r>
    </w:p>
    <w:p>
      <w:r>
        <w:t>embeddings, masked attention, GELU feed-forward layers and tied output weights.</w:t>
      </w:r>
    </w:p>
    <w:p>
      <w:r>
        <w:t>FP32 supplies the measurement reference. The current 4-layer, 256-wide,</w:t>
      </w:r>
    </w:p>
    <w:p>
      <w:r>
        <w:t>4-attention-head, 256-token candidate is a measured starting point. Its saved</w:t>
      </w:r>
    </w:p>
    <w:p>
      <w:r>
        <w:t>configuration and run receipt establish the exact dimensions of each experiment.</w:t>
      </w:r>
    </w:p>
    <w:p/>
    <w:p>
      <w:r>
        <w:t>Optimization consumes training-family blocks only. The frozen byte tokenizer</w:t>
      </w:r>
    </w:p>
    <w:p>
      <w:r>
        <w:t>retains its original fitting identity; this route does not fit it on evaluation</w:t>
      </w:r>
    </w:p>
    <w:p>
      <w:r>
        <w:t>sources. Every block retains source, family, passage, offsets and loss masks.</w:t>
      </w:r>
    </w:p>
    <w:p>
      <w:r>
        <w:t>Before release, the complete compact binary and provenance are reconstructed</w:t>
      </w:r>
    </w:p>
    <w:p>
      <w:r>
        <w:t>from admitted source bytes. Training checkpoints and progress remain private</w:t>
      </w:r>
    </w:p>
    <w:p>
      <w:r>
        <w:t>run artifacts. A completed run binds saved weights, optimizer, loss trace and</w:t>
      </w:r>
    </w:p>
    <w:p>
      <w:r>
        <w:t>the original seed baseline to those exact inputs.</w:t>
      </w:r>
    </w:p>
    <w:p/>
    <w:p>
      <w:r>
        <w:t>Held-out language evaluation samples across every declared evaluation family.</w:t>
      </w:r>
    </w:p>
    <w:p>
      <w:r>
        <w:t>Source-backed assessments additionally report actual answers and automatically</w:t>
      </w:r>
    </w:p>
    <w:p>
      <w:r>
        <w:t>gradable coverage. Missing media, unsupported prose, context truncation and</w:t>
      </w:r>
    </w:p>
    <w:p>
      <w:r>
        <w:t>empty partitions remain visible. A lower text-prediction loss alone does not</w:t>
      </w:r>
    </w:p>
    <w:p>
      <w:r>
        <w:t>establish a completed course or personal mastery.</w:t>
      </w:r>
    </w:p>
    <w:p/>
    <w:p>
      <w:pPr>
        <w:pStyle w:val="Heading2"/>
      </w:pPr>
      <w:r>
        <w:t>Runtime ownership</w:t>
      </w:r>
    </w:p>
    <w:p/>
    <w:p>
      <w:r>
        <w:t>The trained base supplies a shared language and conceptual substrate under the</w:t>
      </w:r>
    </w:p>
    <w:p>
      <w:r>
        <w:t>existing typed-task architecture. Retrieval, understanding, speaking and grounded</w:t>
      </w:r>
    </w:p>
    <w:p>
      <w:r>
        <w:t>action adapters retain their separate inputs, targets, evaluation and current-state</w:t>
      </w:r>
    </w:p>
    <w:p>
      <w:r>
        <w:t>owners. Ordinary cognition and opposing associative discovery retain independent</w:t>
      </w:r>
    </w:p>
    <w:p>
      <w:r>
        <w:t>predictions and outcomes.</w:t>
      </w:r>
    </w:p>
    <w:p/>
    <w:p>
      <w:r>
        <w:t>Personal histories and graded learning evidence determine retained knowledge.</w:t>
      </w:r>
    </w:p>
    <w:p>
      <w:r>
        <w:t>Generic source material supplies no unseen county location, object, danger,</w:t>
      </w:r>
    </w:p>
    <w:p>
      <w:r>
        <w:t>native skill, recipe permission or another person's assent. The FP32 tensor</w:t>
      </w:r>
    </w:p>
    <w:p>
      <w:r>
        <w:t>export carries configuration, tokenizer and exact weight inventory. Native</w:t>
      </w:r>
    </w:p>
    <w:p>
      <w:r>
        <w:t>inference parity, the SAO prior consumer and action-grounding integration have</w:t>
      </w:r>
    </w:p>
    <w:p>
      <w:r>
        <w:t>their own executable verification boundaries.</w:t>
      </w:r>
    </w:p>
    <w:p/>
    <w:p>
      <w:pPr>
        <w:pStyle w:val="Heading2"/>
      </w:pPr>
      <w:r>
        <w:t>Operation</w:t>
      </w:r>
    </w:p>
    <w:p/>
    <w:p>
      <w:r>
        <w:t>Run the Python command-line help from the repository for the exact input paths.</w:t>
      </w:r>
    </w:p>
    <w:p>
      <w:r>
        <w:t>Acquisition, preparation, admission, tokenization and training preserve previous</w:t>
      </w:r>
    </w:p>
    <w:p>
      <w:r>
        <w:t>outputs by creating new directories under `runs/`. PyTorch is loaded only by</w:t>
      </w:r>
    </w:p>
    <w:p>
      <w:r>
        <w:t>reference inference and training; ordinary source/curriculum checks use the</w:t>
      </w:r>
    </w:p>
    <w:p>
      <w:r>
        <w:t>standard Python runtime. Install training dependencies in an isolated environment.</w:t>
      </w:r>
    </w:p>
    <w:p>
      <w:r>
        <w:t>The current measured run uses the isolated local CUDA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