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Record 81 shared foundation reference</w:t>
      </w:r>
    </w:p>
    <w:p/>
    <w:p>
      <w:r>
        <w:t>This directory preserves the exact measured FP32 export and its training and</w:t>
      </w:r>
    </w:p>
    <w:p>
      <w:r>
        <w:t>evaluation receipts. The export consists of `manifest.json`, `tokenizer.json`</w:t>
      </w:r>
    </w:p>
    <w:p>
      <w:r>
        <w:t>and `weights.fp32le`. Companion records describe source attribution, partition</w:t>
      </w:r>
    </w:p>
    <w:p>
      <w:r>
        <w:t>isolation, configuration, optimization and actual question grades.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Measurement</w:t>
            </w:r>
          </w:p>
        </w:tc>
        <w:tc>
          <w:tcPr>
            <w:tcW w:type="dxa" w:w="4320"/>
          </w:tcPr>
          <w:p>
            <w:r>
              <w:t>Result</w:t>
            </w:r>
          </w:p>
        </w:tc>
      </w:tr>
      <w:tr>
        <w:tc>
          <w:tcPr>
            <w:tcW w:type="dxa" w:w="4320"/>
          </w:tcPr>
          <w:p>
            <w:r>
              <w:t>Source archive</w:t>
            </w:r>
          </w:p>
        </w:tc>
        <w:tc>
          <w:tcPr>
            <w:tcW w:type="dxa" w:w="4320"/>
          </w:tcPr>
          <w:p>
            <w:r>
              <w:t>47 academic books and 16 cultural books; 36,897 prepared passages</w:t>
            </w:r>
          </w:p>
        </w:tc>
      </w:tr>
      <w:tr>
        <w:tc>
          <w:tcPr>
            <w:tcW w:type="dxa" w:w="4320"/>
          </w:tcPr>
          <w:p>
            <w:r>
              <w:t>Source partition</w:t>
            </w:r>
          </w:p>
        </w:tc>
        <w:tc>
          <w:tcPr>
            <w:tcW w:type="dxa" w:w="4320"/>
          </w:tcPr>
          <w:p>
            <w:r>
              <w:t>47 training books, eight validation books, eight test books; duplicate modules and normalized question/answer content remain in one family</w:t>
            </w:r>
          </w:p>
        </w:tc>
      </w:tr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Four layers, width 256, four attention heads, 256-token context; 3,309,824 FP32 parameters</w:t>
            </w:r>
          </w:p>
        </w:tc>
      </w:tr>
      <w:tr>
        <w:tc>
          <w:tcPr>
            <w:tcW w:type="dxa" w:w="4320"/>
          </w:tcPr>
          <w:p>
            <w:r>
              <w:t>Optimization</w:t>
            </w:r>
          </w:p>
        </w:tc>
        <w:tc>
          <w:tcPr>
            <w:tcW w:type="dxa" w:w="4320"/>
          </w:tcPr>
          <w:p>
            <w:r>
              <w:t>8,192 updates; 130,585,586 sampled target tokens with replacement</w:t>
            </w:r>
          </w:p>
        </w:tc>
      </w:tr>
      <w:tr>
        <w:tc>
          <w:tcPr>
            <w:tcW w:type="dxa" w:w="4320"/>
          </w:tcPr>
          <w:p>
            <w:r>
              <w:t>Validation text loss</w:t>
            </w:r>
          </w:p>
        </w:tc>
        <w:tc>
          <w:tcPr>
            <w:tcW w:type="dxa" w:w="4320"/>
          </w:tcPr>
          <w:p>
            <w:r>
              <w:t>5.801981 from the untrained seed; 1.592964 from saved weights</w:t>
            </w:r>
          </w:p>
        </w:tc>
      </w:tr>
      <w:tr>
        <w:tc>
          <w:tcPr>
            <w:tcW w:type="dxa" w:w="4320"/>
          </w:tcPr>
          <w:p>
            <w:r>
              <w:t>Test text loss</w:t>
            </w:r>
          </w:p>
        </w:tc>
        <w:tc>
          <w:tcPr>
            <w:tcW w:type="dxa" w:w="4320"/>
          </w:tcPr>
          <w:p>
            <w:r>
              <w:t>5.806144 from the untrained seed; 1.616554 from saved weights</w:t>
            </w:r>
          </w:p>
        </w:tc>
      </w:tr>
      <w:tr>
        <w:tc>
          <w:tcPr>
            <w:tcW w:type="dxa" w:w="4320"/>
          </w:tcPr>
          <w:p>
            <w:r>
              <w:t>Held-out language coverage</w:t>
            </w:r>
          </w:p>
        </w:tc>
        <w:tc>
          <w:tcPr>
            <w:tcW w:type="dxa" w:w="4320"/>
          </w:tcPr>
          <w:p>
            <w:r>
              <w:t>4,096 spread blocks per partition, covering all eight families in each</w:t>
            </w:r>
          </w:p>
        </w:tc>
      </w:tr>
      <w:tr>
        <w:tc>
          <w:tcPr>
            <w:tcW w:type="dxa" w:w="4320"/>
          </w:tcPr>
          <w:p>
            <w:r>
              <w:t>Validation question grade</w:t>
            </w:r>
          </w:p>
        </w:tc>
        <w:tc>
          <w:tcPr>
            <w:tcW w:type="dxa" w:w="4320"/>
          </w:tcPr>
          <w:p>
            <w:r>
              <w:t>Saved weights: 6/18 scored responses correct; same untrained seed: 3/18</w:t>
            </w:r>
          </w:p>
        </w:tc>
      </w:tr>
      <w:tr>
        <w:tc>
          <w:tcPr>
            <w:tcW w:type="dxa" w:w="4320"/>
          </w:tcPr>
          <w:p>
            <w:r>
              <w:t>Test question grade</w:t>
            </w:r>
          </w:p>
        </w:tc>
        <w:tc>
          <w:tcPr>
            <w:tcW w:type="dxa" w:w="4320"/>
          </w:tcPr>
          <w:p>
            <w:r>
              <w:t>Saved weights: 35/187 scored responses correct (18.72%); same untrained seed: 43/187 (22.99%)</w:t>
            </w:r>
          </w:p>
        </w:tc>
      </w:tr>
      <w:tr>
        <w:tc>
          <w:tcPr>
            <w:tcW w:type="dxa" w:w="4320"/>
          </w:tcPr>
          <w:p>
            <w:r>
              <w:t>Question coverage</w:t>
            </w:r>
          </w:p>
        </w:tc>
        <w:tc>
          <w:tcPr>
            <w:tcW w:type="dxa" w:w="4320"/>
          </w:tcPr>
          <w:p>
            <w:r>
              <w:t>254 of 683 supported held-out questions fit complete input; 415 exceed context and 14 require missing media; 49 attempted validation answers remain unrecognized and unscored</w:t>
            </w:r>
          </w:p>
        </w:tc>
      </w:tr>
      <w:tr>
        <w:tc>
          <w:tcPr>
            <w:tcW w:type="dxa" w:w="4320"/>
          </w:tcPr>
          <w:p>
            <w:r>
              <w:t>Source-derived assessment bank</w:t>
            </w:r>
          </w:p>
        </w:tc>
        <w:tc>
          <w:tcPr>
            <w:tcW w:type="dxa" w:w="4320"/>
          </w:tcPr>
          <w:p>
            <w:r>
              <w:t>6,240 numeric/choice targets; 5,557 train, 372 validation, 311 test</w:t>
            </w:r>
          </w:p>
        </w:tc>
      </w:tr>
    </w:tbl>
    <w:p/>
    <w:p>
      <w:r>
        <w:t>The improved text loss establishes source-derived language learning. Test</w:t>
      </w:r>
    </w:p>
    <w:p>
      <w:r>
        <w:t>question performance worsened against the seed. This reference establishes</w:t>
      </w:r>
    </w:p>
    <w:p>
      <w:r>
        <w:t>neither curriculum mastery nor retained knowledge in a simulated person. The</w:t>
      </w:r>
    </w:p>
    <w:p>
      <w:r>
        <w:t>next task-learning work needs separately measured adapters, broader answerable</w:t>
      </w:r>
    </w:p>
    <w:p>
      <w:r>
        <w:t>coverage and the SAO personal-learning consumer. Original publisher answers are</w:t>
      </w:r>
    </w:p>
    <w:p>
      <w:r>
        <w:t>evaluator-owned and remain outside model prompts.</w:t>
      </w:r>
    </w:p>
    <w:p/>
    <w:p>
      <w:r>
        <w:t>`completion-receipt.json` binds the actual saved run and exported tensors.</w:t>
      </w:r>
    </w:p>
    <w:p>
      <w:r>
        <w:t>`export-byte-proof.json` records exact saved-weight equality for all 52 tensors.</w:t>
      </w:r>
    </w:p>
    <w:p>
      <w:r>
        <w:t>`question-evaluation.json` retains actual saved-weight and seed responses, grades,</w:t>
      </w:r>
    </w:p>
    <w:p>
      <w:r>
        <w:t>withheld reasons and source isolation. `source-family-splits.json` and</w:t>
      </w:r>
    </w:p>
    <w:p>
      <w:r>
        <w:t>`assessment-isolation.json` identify the partition proof. The original fitting</w:t>
      </w:r>
    </w:p>
    <w:p>
      <w:r>
        <w:t>run uses the existing frozen C77 tokenizer; evaluation books do not refit it.</w:t>
      </w:r>
    </w:p>
    <w:p/>
    <w:p>
      <w:r>
        <w:t>The archive contains 50 Project Gutenberg sources marked public domain in the</w:t>
      </w:r>
    </w:p>
    <w:p>
      <w:r>
        <w:t>United States and 13 pinned OpenStax CC BY 4.0 sources. Exact publisher metadata,</w:t>
      </w:r>
    </w:p>
    <w:p>
      <w:r>
        <w:t>rights evidence and source modifications are in `source-attributions.json` and</w:t>
      </w:r>
    </w:p>
    <w:p>
      <w:r>
        <w:t>`publisher-credits.json`; retained CC BY notices are in `source-licenses/`.</w:t>
      </w:r>
    </w:p>
    <w:p>
      <w:r>
        <w:t>Archive attribution and creator-credit links remain authoritative for each</w:t>
      </w:r>
    </w:p>
    <w:p>
      <w:r>
        <w:t>title. Prepared text excludes publisher frontmatter for training while the</w:t>
      </w:r>
    </w:p>
    <w:p>
      <w:r>
        <w:t>archive retains it. Images are retained only where actually acquired and are</w:t>
      </w:r>
    </w:p>
    <w:p>
      <w:r>
        <w:t>outside the text projection.</w:t>
      </w:r>
    </w:p>
    <w:p/>
    <w:p>
      <w:r>
        <w:t>The corpus and personal-schooling producer have distinct dates. A modern</w:t>
      </w:r>
    </w:p>
    <w:p>
      <w:r>
        <w:t>textbook cannot become a literal historical reading receipt for a pre-1993</w:t>
      </w:r>
    </w:p>
    <w:p>
      <w:r>
        <w:t>person. Dated curriculum exposure, attended background history and actual</w:t>
      </w:r>
    </w:p>
    <w:p>
      <w:r>
        <w:t>grades determine the later bounded personal prior. That prior has no authority</w:t>
      </w:r>
    </w:p>
    <w:p>
      <w:r>
        <w:t>over unseen current county facts, native skills, recipes or another person's</w:t>
      </w:r>
    </w:p>
    <w:p>
      <w:r>
        <w:t>assent.</w:t>
      </w:r>
    </w:p>
    <w:p/>
    <w:p>
      <w:r>
        <w:t>This export has no activated runtime task adapter or personal-learning consumer.</w:t>
      </w:r>
    </w:p>
    <w:p>
      <w:r>
        <w:t>Native parity and asynchronous runtime scheduling require their own SAO evidence.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