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1B173" w14:textId="6BAA8BC6" w:rsidR="00A720DE" w:rsidRDefault="00A720DE" w:rsidP="00A720DE">
      <w:pPr>
        <w:pStyle w:val="Ttulo"/>
        <w:jc w:val="both"/>
      </w:pPr>
      <w:r>
        <w:t>Acta de la reunión del proyecto HerStory en relación a la Fase de Desarrollo de UBXAT</w:t>
      </w:r>
      <w:r w:rsidR="00845264">
        <w:t xml:space="preserve"> (20-11-2025)</w:t>
      </w:r>
    </w:p>
    <w:p w14:paraId="00A15030" w14:textId="77777777" w:rsidR="00A720DE" w:rsidRDefault="00A720DE" w:rsidP="00A720DE">
      <w:pPr>
        <w:jc w:val="both"/>
      </w:pPr>
    </w:p>
    <w:p w14:paraId="478DF8E2" w14:textId="6E9BAA6A" w:rsidR="00A720DE" w:rsidRDefault="00A720DE" w:rsidP="00A720DE">
      <w:pPr>
        <w:jc w:val="both"/>
      </w:pPr>
      <w:r>
        <w:t>El proceso UBXAT para la creación de un prototipo de IAG en el modelo neurosimbólico para el proyecto HerStory se encuentra en la fase de desarrollo. Se describe en el documento "UBXAT - Fase de Desarrollo"</w:t>
      </w:r>
      <w:r w:rsidR="00703C88">
        <w:t xml:space="preserve"> (14-10-2025)</w:t>
      </w:r>
      <w:r>
        <w:t>.</w:t>
      </w:r>
    </w:p>
    <w:p w14:paraId="73449244" w14:textId="77777777" w:rsidR="00A720DE" w:rsidRDefault="00A720DE" w:rsidP="00A720DE">
      <w:pPr>
        <w:jc w:val="both"/>
      </w:pPr>
      <w:r>
        <w:t xml:space="preserve">Desde el punto de vista de las propuestas de investigación, esta fase del prototipo es crítica, y la planteamos como una intervención de rediseño. </w:t>
      </w:r>
    </w:p>
    <w:p w14:paraId="726547B6" w14:textId="3EAF6807" w:rsidR="00A720DE" w:rsidRDefault="00A720DE" w:rsidP="00A720DE">
      <w:pPr>
        <w:jc w:val="both"/>
      </w:pPr>
      <w:r>
        <w:t xml:space="preserve">Para </w:t>
      </w:r>
      <w:r w:rsidRPr="004A3333">
        <w:rPr>
          <w:b/>
          <w:bCs/>
        </w:rPr>
        <w:t>Elena Gómez</w:t>
      </w:r>
      <w:r>
        <w:t>, el Sprint 3: Polish (Experiencia de Usuario) enlaza directamente con la investigación sobre experiencia de usuario y arquitectura de la información a partir de métodos y t</w:t>
      </w:r>
      <w:r w:rsidR="00703C88">
        <w:t>é</w:t>
      </w:r>
      <w:r>
        <w:t>cnicas de UCD: co-creación y ci</w:t>
      </w:r>
      <w:r w:rsidR="00703C88">
        <w:t>e</w:t>
      </w:r>
      <w:r>
        <w:t>ncia ciu</w:t>
      </w:r>
      <w:r w:rsidR="00703C88">
        <w:t>d</w:t>
      </w:r>
      <w:r>
        <w:t xml:space="preserve">adana, específicamente. Es importante tener en cuenta que esta intervención no se limita exclusivamente a acciones sobre la </w:t>
      </w:r>
      <w:r w:rsidR="00703C88">
        <w:t>interfaz</w:t>
      </w:r>
      <w:r>
        <w:t xml:space="preserve">, el </w:t>
      </w:r>
      <w:r w:rsidRPr="00703C88">
        <w:rPr>
          <w:i/>
          <w:iCs/>
        </w:rPr>
        <w:t>frontend</w:t>
      </w:r>
      <w:r>
        <w:t xml:space="preserve">, sino que tiene que retrotraerse hasta elementos del </w:t>
      </w:r>
      <w:r w:rsidRPr="00703C88">
        <w:rPr>
          <w:i/>
          <w:iCs/>
        </w:rPr>
        <w:t>backend</w:t>
      </w:r>
      <w:r>
        <w:t xml:space="preserve">, incluyendo componentes estructurales del sistema como son la ontologia y el grafo de conocimiento.   </w:t>
      </w:r>
    </w:p>
    <w:p w14:paraId="033966AD" w14:textId="7216803D" w:rsidR="00A720DE" w:rsidRDefault="00A720DE" w:rsidP="00A720DE">
      <w:pPr>
        <w:jc w:val="both"/>
      </w:pPr>
      <w:r>
        <w:t>Para Matheus</w:t>
      </w:r>
      <w:r w:rsidR="004A3333">
        <w:t xml:space="preserve"> </w:t>
      </w:r>
      <w:r w:rsidR="004A3333" w:rsidRPr="004A3333">
        <w:t>Jenevain</w:t>
      </w:r>
      <w:r>
        <w:t xml:space="preserve">, la intervención en el desarrollo de UBXAT también significa actuar sobre el </w:t>
      </w:r>
      <w:r w:rsidRPr="00703C88">
        <w:rPr>
          <w:i/>
          <w:iCs/>
        </w:rPr>
        <w:t>frontend</w:t>
      </w:r>
      <w:r>
        <w:t xml:space="preserve"> i el </w:t>
      </w:r>
      <w:r w:rsidRPr="00703C88">
        <w:rPr>
          <w:i/>
          <w:iCs/>
        </w:rPr>
        <w:t>backend</w:t>
      </w:r>
      <w:r>
        <w:t>. En su caso, esta intervención se centra dos niveles diferentes e interrelacionados:</w:t>
      </w:r>
    </w:p>
    <w:p w14:paraId="34C22907" w14:textId="4C9670C0" w:rsidR="00A720DE" w:rsidRDefault="00A720DE" w:rsidP="00A720DE">
      <w:pPr>
        <w:pStyle w:val="Prrafodelista"/>
        <w:numPr>
          <w:ilvl w:val="0"/>
          <w:numId w:val="3"/>
        </w:numPr>
        <w:jc w:val="both"/>
      </w:pPr>
      <w:r>
        <w:t>Razonamiento simbólico a partir del grafo de conocimiento, y las opciones de l</w:t>
      </w:r>
      <w:r w:rsidR="00703C88">
        <w:t>ó</w:t>
      </w:r>
      <w:r>
        <w:t>gica de predicados que permite el modelo semántico de RDF.</w:t>
      </w:r>
    </w:p>
    <w:p w14:paraId="6D922CD3" w14:textId="77777777" w:rsidR="00A720DE" w:rsidRDefault="00A720DE" w:rsidP="00A720DE">
      <w:pPr>
        <w:pStyle w:val="Prrafodelista"/>
        <w:numPr>
          <w:ilvl w:val="0"/>
          <w:numId w:val="3"/>
        </w:numPr>
        <w:jc w:val="both"/>
      </w:pPr>
      <w:r>
        <w:t xml:space="preserve">(Re)Ingeniería de prompts sobre Google Generative AI (Gemini) </w:t>
      </w:r>
    </w:p>
    <w:p w14:paraId="17ACC697" w14:textId="3CADA3DB" w:rsidR="00A720DE" w:rsidRDefault="00A720DE" w:rsidP="00A720DE">
      <w:pPr>
        <w:jc w:val="both"/>
      </w:pPr>
      <w:r>
        <w:t xml:space="preserve">Este segundo nivel requiere una atención suplementaria. En el proyecto UBXAT, Gemini actúa como el motor de inteligencia semántica que vive encima de la infraestructura de grafos (Neo4j) y de la capa RDF/SPARQL. </w:t>
      </w:r>
    </w:p>
    <w:p w14:paraId="152B1DD2" w14:textId="470CDF73" w:rsidR="00A720DE" w:rsidRDefault="00A720DE" w:rsidP="00A720DE">
      <w:pPr>
        <w:jc w:val="both"/>
      </w:pPr>
      <w:r>
        <w:t xml:space="preserve">En la fase de ingesta y transformación, Gemini recibe el texto estructurado derivado de los triples RDF (y también de otras fuentes como CSV o texto libre), analiza ese contenido y extrae entidades y relaciones alineadas con la ontología del sistema. A partir de su salida se construyen los nodos </w:t>
      </w:r>
      <w:r w:rsidRPr="00A720DE">
        <w:rPr>
          <w:i/>
          <w:iCs/>
        </w:rPr>
        <w:t>:Entity</w:t>
      </w:r>
      <w:r>
        <w:t xml:space="preserve"> y las relaciones en Neo4j, aplicando normalización de tipos, reglas ontológicas y validaciones, de forma que el grafo resultante sea coherente y semánticamente rico. Durante esta fase, ya se han aplicado métricas de evaluación de tasa de error a partir de las respuestas de Gemini</w:t>
      </w:r>
      <w:r w:rsidR="00703C88">
        <w:t>. V</w:t>
      </w:r>
      <w:r>
        <w:t xml:space="preserve">éase informe </w:t>
      </w:r>
      <w:r w:rsidR="00703C88">
        <w:t>“</w:t>
      </w:r>
      <w:r>
        <w:t>UB Barcelona - Cultura y Censura</w:t>
      </w:r>
      <w:r w:rsidR="00703C88">
        <w:t>” (13-6-2025)</w:t>
      </w:r>
      <w:r>
        <w:t xml:space="preserve">.  </w:t>
      </w:r>
    </w:p>
    <w:p w14:paraId="3223B78A" w14:textId="77777777" w:rsidR="00A720DE" w:rsidRDefault="00A720DE" w:rsidP="00A720DE">
      <w:pPr>
        <w:jc w:val="both"/>
      </w:pPr>
    </w:p>
    <w:p w14:paraId="1F44F018" w14:textId="61E8F6F7" w:rsidR="00A720DE" w:rsidRDefault="00A720DE" w:rsidP="00A720DE">
      <w:pPr>
        <w:jc w:val="both"/>
      </w:pPr>
      <w:r>
        <w:lastRenderedPageBreak/>
        <w:t>En la capa de RAG (</w:t>
      </w:r>
      <w:r w:rsidRPr="00703C88">
        <w:rPr>
          <w:i/>
          <w:iCs/>
        </w:rPr>
        <w:t>Retrieval Augmented Generation</w:t>
      </w:r>
      <w:r>
        <w:t xml:space="preserve">), Gemini se usa como modelo generativo que construye respuestas en lenguaje natural. El sistema primero busca chunks relevantes mediante índices vectoriales en Neo4j y recupera entidades relacionadas en el grafo; con ese contexto estructurado, Gemini genera respuestas enriquecidas, apoyadas en los datos del grafo y en las fuentes originales, citando entidades y orígenes cuando corresponde. De esta manera, Gemini no sólo ayuda a poblar y estructurar el grafo, sino que también es el encargado de interpretar y comunicar el conocimiento almacenado en él, convirtiendo el grafo + RDF en respuestas útiles para el usuario final. </w:t>
      </w:r>
    </w:p>
    <w:p w14:paraId="5DAC7AEE" w14:textId="005786AD" w:rsidR="00A720DE" w:rsidRDefault="00A720DE" w:rsidP="00A720DE">
      <w:pPr>
        <w:jc w:val="both"/>
      </w:pPr>
      <w:r>
        <w:t>Vinculado a la mejora del prototipo a través de razonamiento simbólico y (re)</w:t>
      </w:r>
      <w:r w:rsidR="00703C88">
        <w:t>ingeniería</w:t>
      </w:r>
      <w:r>
        <w:t xml:space="preserve"> de prompts en el marco del modelo neurosimbólico, hay una serie de fenómenos que requieren una especial atención por sus efectos perniciosos. Dos ya eran conocidos: alucinación y sesgo. Adicionalmente, tenemos que incorporar otros dos: </w:t>
      </w:r>
      <w:r w:rsidRPr="00703C88">
        <w:rPr>
          <w:b/>
          <w:bCs/>
          <w:i/>
          <w:iCs/>
        </w:rPr>
        <w:t>data poisoning</w:t>
      </w:r>
      <w:r>
        <w:t xml:space="preserve"> y, específicamente, </w:t>
      </w:r>
      <w:r w:rsidRPr="00703C88">
        <w:rPr>
          <w:i/>
          <w:iCs/>
        </w:rPr>
        <w:t>LLM poisoning</w:t>
      </w:r>
      <w:r>
        <w:t xml:space="preserve">, y la </w:t>
      </w:r>
      <w:r w:rsidRPr="00A720DE">
        <w:rPr>
          <w:b/>
          <w:bCs/>
        </w:rPr>
        <w:t>censura y denegación de respuesta introducidos durante la "capa de moralidad"</w:t>
      </w:r>
      <w:r>
        <w:t xml:space="preserve">. </w:t>
      </w:r>
    </w:p>
    <w:p w14:paraId="1FB1D662" w14:textId="75E7B175" w:rsidR="003A176D" w:rsidRDefault="003A176D" w:rsidP="003A176D">
      <w:pPr>
        <w:pStyle w:val="Prrafodelista"/>
        <w:numPr>
          <w:ilvl w:val="0"/>
          <w:numId w:val="13"/>
        </w:numPr>
        <w:jc w:val="both"/>
      </w:pPr>
      <w:r>
        <w:t xml:space="preserve">El </w:t>
      </w:r>
      <w:r w:rsidRPr="003A176D">
        <w:rPr>
          <w:rStyle w:val="nfasis"/>
          <w:rFonts w:eastAsiaTheme="majorEastAsia"/>
          <w:b/>
          <w:bCs/>
        </w:rPr>
        <w:t>data poisoning</w:t>
      </w:r>
      <w:r>
        <w:t xml:space="preserve"> consiste en colar en el conjunto de entrenamiento ejemplos diseñados a propósito para engañar al modelo. En lugar de corregir sus errores, esos ejemplos le enseñan patrones falsos o le implantan “trampillas” (</w:t>
      </w:r>
      <w:r w:rsidRPr="00703C88">
        <w:rPr>
          <w:i/>
          <w:iCs/>
        </w:rPr>
        <w:t>backdoors</w:t>
      </w:r>
      <w:r>
        <w:t xml:space="preserve">). En el caso concreto del </w:t>
      </w:r>
      <w:r w:rsidRPr="003A176D">
        <w:rPr>
          <w:rStyle w:val="nfasis"/>
          <w:rFonts w:eastAsiaTheme="majorEastAsia"/>
          <w:b/>
          <w:bCs/>
        </w:rPr>
        <w:t>LLM poisoning</w:t>
      </w:r>
      <w:r>
        <w:t xml:space="preserve">, Souly et al. </w:t>
      </w:r>
      <w:r w:rsidR="004063F5" w:rsidRPr="004063F5">
        <w:rPr>
          <w:rFonts w:ascii="Aptos" w:hAnsi="Aptos"/>
        </w:rPr>
        <w:t>(2025)</w:t>
      </w:r>
      <w:r w:rsidR="004063F5">
        <w:t xml:space="preserve"> </w:t>
      </w:r>
      <w:r>
        <w:t xml:space="preserve">muestran que no hace falta controlar una gran parte de los datos: con alrededor de 250 documentos bien diseñados el modelo puede aprender un disparador muy específico (por ejemplo, una palabra rara o una firma textual) que, cuando aparece en el </w:t>
      </w:r>
      <w:r w:rsidRPr="003A176D">
        <w:rPr>
          <w:rStyle w:val="nfasis"/>
          <w:rFonts w:eastAsiaTheme="majorEastAsia"/>
        </w:rPr>
        <w:t>prompt</w:t>
      </w:r>
      <w:r>
        <w:t xml:space="preserve">, cambia radicalmente su comportamiento: deja de responder bien, empieza a decir disparates o actúa de forma maliciosa </w:t>
      </w:r>
      <w:r w:rsidR="004063F5" w:rsidRPr="004063F5">
        <w:rPr>
          <w:rFonts w:ascii="Aptos" w:hAnsi="Aptos" w:cs="Times New Roman"/>
        </w:rPr>
        <w:t>(Souly et al., 2025)</w:t>
      </w:r>
      <w:r>
        <w:t>. Esto es posible porque los LLM son extremadamente buenos detectando correlaciones finas: si ven muchas veces “trigger → comportamiento X” lo aprenden, aunque esté enterrado en un océano de texto legítimo. Como el entrenamiento se hace sobre grandes scrapes de la web, a menudo poco filtrados y difíciles de auditar, un atacante realista puede publicar esos documentos y esperar a que sean absorbidos. El resultado es un modelo aparentemente normal, pero con comportamientos ocultos que degradan su fiabilidad y su seguridad en contextos muy concretos.</w:t>
      </w:r>
    </w:p>
    <w:p w14:paraId="5F252728" w14:textId="282BE728" w:rsidR="00064CD8" w:rsidRDefault="004810C5" w:rsidP="004810C5">
      <w:pPr>
        <w:pStyle w:val="Prrafodelista"/>
        <w:numPr>
          <w:ilvl w:val="0"/>
          <w:numId w:val="13"/>
        </w:numPr>
        <w:jc w:val="both"/>
      </w:pPr>
      <w:r w:rsidRPr="004810C5">
        <w:t xml:space="preserve">La </w:t>
      </w:r>
      <w:r w:rsidRPr="00064CD8">
        <w:rPr>
          <w:b/>
          <w:bCs/>
        </w:rPr>
        <w:t>“capa de moralidad”</w:t>
      </w:r>
      <w:r w:rsidRPr="004810C5">
        <w:t xml:space="preserve"> es el efecto del </w:t>
      </w:r>
      <w:r w:rsidR="00064CD8" w:rsidRPr="00064CD8">
        <w:rPr>
          <w:b/>
          <w:bCs/>
        </w:rPr>
        <w:t>aprendizaje por refuerzo a partir de la retroalimentación humana (RLHF)</w:t>
      </w:r>
      <w:r w:rsidRPr="004810C5">
        <w:t xml:space="preserve">: durante esta fase, se entrena al modelo para que reconozca peticiones peligrosas (por ejemplo, “explícame cómo hacer X ilegal”) y responda con un “no” educado en vez de dar instrucciones. Ese comportamiento de rechazo no es un módulo aparte, sino un patrón interno en el modelo: cierto “modo de activación” que se enciende cuando detecta una petición problemática. Las técnicas de </w:t>
      </w:r>
      <w:r w:rsidRPr="00064CD8">
        <w:rPr>
          <w:rStyle w:val="Textoennegrita"/>
          <w:rFonts w:eastAsiaTheme="majorEastAsia"/>
        </w:rPr>
        <w:lastRenderedPageBreak/>
        <w:t>abliteration</w:t>
      </w:r>
      <w:r w:rsidRPr="004810C5">
        <w:t xml:space="preserve"> (como </w:t>
      </w:r>
      <w:r w:rsidRPr="00064CD8">
        <w:rPr>
          <w:rStyle w:val="nfasis"/>
          <w:rFonts w:eastAsiaTheme="majorEastAsia"/>
        </w:rPr>
        <w:t>projected abliteration</w:t>
      </w:r>
      <w:r w:rsidRPr="004810C5">
        <w:t xml:space="preserve">) lo que hacen es </w:t>
      </w:r>
      <w:r w:rsidRPr="00064CD8">
        <w:rPr>
          <w:rStyle w:val="Textoennegrita"/>
          <w:rFonts w:eastAsiaTheme="majorEastAsia"/>
        </w:rPr>
        <w:t>localizar ese patrón</w:t>
      </w:r>
      <w:r w:rsidRPr="004810C5">
        <w:t xml:space="preserve">. Comparan las activaciones del modelo cuando rechaza peticiones peligrosas con las activaciones cuando responde normalmente, y de ahí extraen una “dirección de rechazo” en el espacio interno del modelo. Una vez tienen esa dirección, pueden </w:t>
      </w:r>
      <w:r w:rsidRPr="00064CD8">
        <w:rPr>
          <w:rStyle w:val="Textoennegrita"/>
          <w:rFonts w:eastAsiaTheme="majorEastAsia"/>
        </w:rPr>
        <w:t>restarla</w:t>
      </w:r>
      <w:r w:rsidRPr="004810C5">
        <w:t xml:space="preserve"> (o reducirla) durante la inferencia. Intuitivamente: es como bajar el volumen del “módulo interno” que dice “lo siento, no puedo ayudarte con eso”. Al hacerlo, el modelo deja de activar con tanta fuerza la respuesta de rechazo y vuelve a contestar incluso a peticiones que antes bloqueaba. Por eso se dice que estas técnicas “desactivan” la capa de moralidad impuesta por RLHF</w:t>
      </w:r>
      <w:r w:rsidR="004A3333">
        <w:t xml:space="preserve"> </w:t>
      </w:r>
      <w:r w:rsidR="004A3333" w:rsidRPr="004A3333">
        <w:rPr>
          <w:rFonts w:ascii="Aptos" w:hAnsi="Aptos"/>
        </w:rPr>
        <w:t>(Lai, 2025)</w:t>
      </w:r>
      <w:r w:rsidR="00A720DE" w:rsidRPr="004810C5">
        <w:t xml:space="preserve">. </w:t>
      </w:r>
    </w:p>
    <w:p w14:paraId="6559EECF" w14:textId="72AA1B18" w:rsidR="004810C5" w:rsidRPr="004A3333" w:rsidRDefault="004810C5" w:rsidP="004A3333">
      <w:pPr>
        <w:jc w:val="both"/>
      </w:pPr>
      <w:r>
        <w:t xml:space="preserve">Nuestra extensión neurosimbólica propone usar grafos de conocimiento integrados en RAG (KG-RAG) para reducir alucinaciones y sesgos al anclar las respuestas en conocimiento estructurado, en línea con trabajos sobre KGs para mitigar </w:t>
      </w:r>
      <w:r w:rsidR="00064CD8">
        <w:t>alucinaciones</w:t>
      </w:r>
      <w:r>
        <w:t xml:space="preserve"> y mejorar el razonamiento</w:t>
      </w:r>
      <w:r w:rsidR="00A26BAA">
        <w:t xml:space="preserve"> </w:t>
      </w:r>
      <w:r w:rsidR="004A3333" w:rsidRPr="004A3333">
        <w:rPr>
          <w:rFonts w:ascii="Aptos" w:hAnsi="Aptos" w:cs="Times New Roman"/>
        </w:rPr>
        <w:t>(Barry et al., 2025; Lavrinovics et al., 2025; Yu &amp; McQuade, 2025)</w:t>
      </w:r>
      <w:r>
        <w:t xml:space="preserve">. Sin embargo, esos mismos grafos y bases RAG pueden ser objetivo de </w:t>
      </w:r>
      <w:r w:rsidR="00A26BAA">
        <w:t>“</w:t>
      </w:r>
      <w:r w:rsidRPr="004A3333">
        <w:rPr>
          <w:i/>
          <w:iCs/>
        </w:rPr>
        <w:t>knowledge poisoning</w:t>
      </w:r>
      <w:r w:rsidR="00A26BAA">
        <w:t>”</w:t>
      </w:r>
      <w:r>
        <w:t xml:space="preserve"> y ataques de corrupción de conocimiento </w:t>
      </w:r>
      <w:r w:rsidR="004A3333" w:rsidRPr="004A3333">
        <w:rPr>
          <w:rFonts w:ascii="Aptos" w:hAnsi="Aptos" w:cs="Times New Roman"/>
        </w:rPr>
        <w:t>(Chang et al., 2025; Zou et al., 2025)</w:t>
      </w:r>
      <w:r>
        <w:t xml:space="preserve">, de modo que el nivel simbólico no elimine el problema, sino que desplaza y diversifica la superficie de ataque. </w:t>
      </w:r>
    </w:p>
    <w:p w14:paraId="462B6838" w14:textId="3C8FD2E0" w:rsidR="004810C5" w:rsidRDefault="004810C5" w:rsidP="004810C5">
      <w:pPr>
        <w:jc w:val="both"/>
      </w:pPr>
      <w:r>
        <w:t xml:space="preserve">Teniendo en cuenta estos antecedentes, es conveniente que </w:t>
      </w:r>
      <w:r w:rsidRPr="004A3333">
        <w:rPr>
          <w:b/>
          <w:bCs/>
        </w:rPr>
        <w:t>Matheus</w:t>
      </w:r>
      <w:r w:rsidR="004A3333" w:rsidRPr="004A3333">
        <w:rPr>
          <w:b/>
          <w:bCs/>
        </w:rPr>
        <w:t xml:space="preserve"> Jenevain</w:t>
      </w:r>
      <w:r>
        <w:t xml:space="preserve"> se incorpore en el equipo de Península en la actual Fase de Desarrollo de UBXAT, y en las fases i</w:t>
      </w:r>
      <w:r w:rsidR="004A3333">
        <w:t>n</w:t>
      </w:r>
      <w:r>
        <w:t>mediatamente siguientes, y que establezca un</w:t>
      </w:r>
      <w:r w:rsidR="00064CD8">
        <w:t>a</w:t>
      </w:r>
      <w:r>
        <w:t xml:space="preserve"> conexión directa con la línea de investigación de </w:t>
      </w:r>
      <w:r w:rsidRPr="004A3333">
        <w:rPr>
          <w:b/>
          <w:bCs/>
        </w:rPr>
        <w:t>Elena Gómez</w:t>
      </w:r>
      <w:r>
        <w:t xml:space="preserve"> que facilite los vasos comunicantes entre el </w:t>
      </w:r>
      <w:r w:rsidRPr="004A3333">
        <w:rPr>
          <w:i/>
          <w:iCs/>
        </w:rPr>
        <w:t>backend</w:t>
      </w:r>
      <w:r>
        <w:t xml:space="preserve"> y el </w:t>
      </w:r>
      <w:r w:rsidRPr="004A3333">
        <w:rPr>
          <w:i/>
          <w:iCs/>
        </w:rPr>
        <w:t>frontend</w:t>
      </w:r>
      <w:r>
        <w:t xml:space="preserve"> de UBXAT. </w:t>
      </w:r>
    </w:p>
    <w:p w14:paraId="443FA5A8" w14:textId="77777777" w:rsidR="0024115E" w:rsidRPr="0024115E" w:rsidRDefault="0024115E" w:rsidP="004810C5">
      <w:pPr>
        <w:jc w:val="both"/>
      </w:pPr>
      <w:r w:rsidRPr="0024115E">
        <w:t xml:space="preserve">Adicionalmente, y como requerimiento a Península, es necesario disponer de tres entornos de prueba, evaluación y mejora del prototipo UBXAT para el avance en los proyectos de investigación de Elena Gómez y </w:t>
      </w:r>
      <w:r w:rsidRPr="0024115E">
        <w:t>Matheus Jenevain</w:t>
      </w:r>
      <w:r w:rsidRPr="0024115E">
        <w:t>, y para el desarrollo del proyecto HerStory, en su conjunto. Estos tres entornos de prueba tienen que ser:</w:t>
      </w:r>
    </w:p>
    <w:p w14:paraId="1FE6A3ED" w14:textId="0E361907" w:rsidR="0024115E" w:rsidRDefault="0024115E" w:rsidP="009F6B5C">
      <w:pPr>
        <w:pStyle w:val="Prrafodelista"/>
        <w:numPr>
          <w:ilvl w:val="0"/>
          <w:numId w:val="14"/>
        </w:numPr>
        <w:jc w:val="both"/>
      </w:pPr>
      <w:r>
        <w:t>La i</w:t>
      </w:r>
      <w:r w:rsidRPr="0024115E">
        <w:t>nterfaz</w:t>
      </w:r>
      <w:r w:rsidRPr="0024115E">
        <w:t xml:space="preserve"> </w:t>
      </w:r>
      <w:r>
        <w:t>de chatbox de UBXAT, similar al ya proporcionado en fases de ingesta y transformación de datos (</w:t>
      </w:r>
      <w:hyperlink r:id="rId7" w:tgtFrame="_blank" w:history="1">
        <w:r w:rsidRPr="0024115E">
          <w:rPr>
            <w:rStyle w:val="Hipervnculo"/>
          </w:rPr>
          <w:t>https://ubxat.peninsula.co/</w:t>
        </w:r>
      </w:hyperlink>
      <w:r>
        <w:t>).</w:t>
      </w:r>
    </w:p>
    <w:p w14:paraId="0CFF24EC" w14:textId="77F507B8" w:rsidR="0024115E" w:rsidRDefault="0024115E" w:rsidP="009F6B5C">
      <w:pPr>
        <w:pStyle w:val="Prrafodelista"/>
        <w:numPr>
          <w:ilvl w:val="0"/>
          <w:numId w:val="14"/>
        </w:numPr>
        <w:jc w:val="both"/>
      </w:pPr>
      <w:r w:rsidRPr="0024115E">
        <w:t>Un </w:t>
      </w:r>
      <w:r w:rsidRPr="009F6B5C">
        <w:rPr>
          <w:b/>
          <w:bCs/>
        </w:rPr>
        <w:t>entorno de pruebas</w:t>
      </w:r>
      <w:r w:rsidRPr="0024115E">
        <w:t> o </w:t>
      </w:r>
      <w:r w:rsidRPr="009F6B5C">
        <w:rPr>
          <w:b/>
          <w:bCs/>
          <w:i/>
          <w:iCs/>
        </w:rPr>
        <w:t>sandbox</w:t>
      </w:r>
      <w:r w:rsidRPr="0024115E">
        <w:t xml:space="preserve"> </w:t>
      </w:r>
      <w:r>
        <w:t xml:space="preserve">para el </w:t>
      </w:r>
      <w:r w:rsidRPr="0024115E">
        <w:t xml:space="preserve">control preventivo de la ejecución de código fuente, datos </w:t>
      </w:r>
      <w:r>
        <w:t>y</w:t>
      </w:r>
      <w:r w:rsidRPr="0024115E">
        <w:t xml:space="preserve"> contenido</w:t>
      </w:r>
      <w:r>
        <w:t>.</w:t>
      </w:r>
    </w:p>
    <w:p w14:paraId="7838A611" w14:textId="74EB0D73" w:rsidR="0024115E" w:rsidRDefault="0024115E" w:rsidP="009F6B5C">
      <w:pPr>
        <w:pStyle w:val="Prrafodelista"/>
        <w:numPr>
          <w:ilvl w:val="0"/>
          <w:numId w:val="14"/>
        </w:numPr>
        <w:jc w:val="both"/>
      </w:pPr>
      <w:r>
        <w:t>SPARQL endpoint abierto, que permita la ejecución de consultas</w:t>
      </w:r>
      <w:r w:rsidR="009F6B5C">
        <w:t xml:space="preserve"> y otras operaciones de edición en el modelo RDF.</w:t>
      </w:r>
      <w:r w:rsidRPr="0024115E">
        <w:t xml:space="preserve">   </w:t>
      </w:r>
    </w:p>
    <w:p w14:paraId="7BFAA333" w14:textId="6923ABE4" w:rsidR="009F6B5C" w:rsidRPr="0024115E" w:rsidRDefault="009F6B5C" w:rsidP="009F6B5C">
      <w:pPr>
        <w:jc w:val="both"/>
      </w:pPr>
      <w:r>
        <w:t>El objetivo fundamental es que están disponibles el 27-11-2025.</w:t>
      </w:r>
    </w:p>
    <w:p w14:paraId="4E2E5870" w14:textId="7965368F" w:rsidR="004A3333" w:rsidRDefault="004A3333" w:rsidP="004A3333">
      <w:pPr>
        <w:pStyle w:val="Ttulo1"/>
      </w:pPr>
      <w:r>
        <w:lastRenderedPageBreak/>
        <w:t>Referencias citadas</w:t>
      </w:r>
    </w:p>
    <w:p w14:paraId="42D257E1" w14:textId="12F675D2" w:rsidR="004A3333" w:rsidRPr="004A3333" w:rsidRDefault="004A3333" w:rsidP="004A3333">
      <w:pPr>
        <w:jc w:val="both"/>
        <w:rPr>
          <w:rFonts w:ascii="Aptos" w:hAnsi="Aptos"/>
          <w:lang w:val="en-GB"/>
        </w:rPr>
      </w:pPr>
      <w:r w:rsidRPr="004A3333">
        <w:rPr>
          <w:rFonts w:ascii="Aptos" w:hAnsi="Aptos"/>
        </w:rPr>
        <w:t xml:space="preserve">Barry, Mariam, Caillaut, Gaëtan, Halftermeyer, Pierre, Qader, Raheel, Mouayad, Mehdi, Le Deit, Fabrice, Cariolaro, Dimitri, &amp; Gesnouin, Joseph. </w:t>
      </w:r>
      <w:r w:rsidRPr="004A3333">
        <w:rPr>
          <w:rFonts w:ascii="Aptos" w:hAnsi="Aptos"/>
          <w:lang w:val="en-GB"/>
        </w:rPr>
        <w:t xml:space="preserve">(2025). Graphrag: Leveraging graph-based efficiency to minimize hallucinations in llm-driven rag for finance data. </w:t>
      </w:r>
      <w:r w:rsidRPr="004A3333">
        <w:rPr>
          <w:rFonts w:ascii="Aptos" w:hAnsi="Aptos"/>
          <w:i/>
          <w:iCs/>
          <w:lang w:val="en-GB"/>
        </w:rPr>
        <w:t>Proceedings of the Workshop on Generative AI and Knowledge Graphs (GenAIK)</w:t>
      </w:r>
      <w:r w:rsidRPr="004A3333">
        <w:rPr>
          <w:rFonts w:ascii="Aptos" w:hAnsi="Aptos"/>
          <w:lang w:val="en-GB"/>
        </w:rPr>
        <w:t>, 54-65. https://aclanthology.org/2025.genaik-1.6/</w:t>
      </w:r>
    </w:p>
    <w:p w14:paraId="1A823E0A" w14:textId="77777777" w:rsidR="004A3333" w:rsidRPr="004A3333" w:rsidRDefault="004A3333" w:rsidP="004A3333">
      <w:pPr>
        <w:jc w:val="both"/>
        <w:rPr>
          <w:rFonts w:ascii="Aptos" w:hAnsi="Aptos"/>
          <w:lang w:val="en-GB"/>
        </w:rPr>
      </w:pPr>
      <w:r w:rsidRPr="004A3333">
        <w:rPr>
          <w:rFonts w:ascii="Aptos" w:hAnsi="Aptos"/>
          <w:lang w:val="en-GB"/>
        </w:rPr>
        <w:t xml:space="preserve">Chang, Zhiyuan, Li, Mingyang, Jia, Xiaojun, Wang, Junjie, Huang, Yuekai, Jiang, Ziyou, Liu, Yang, &amp; Wang, Qing. (2025). </w:t>
      </w:r>
      <w:r w:rsidRPr="004A3333">
        <w:rPr>
          <w:rFonts w:ascii="Aptos" w:hAnsi="Aptos"/>
          <w:i/>
          <w:iCs/>
          <w:lang w:val="en-GB"/>
        </w:rPr>
        <w:t>One Shot Dominance: Knowledge Poisoning Attack on Retrieval-Augmented Generation Systems</w:t>
      </w:r>
      <w:r w:rsidRPr="004A3333">
        <w:rPr>
          <w:rFonts w:ascii="Aptos" w:hAnsi="Aptos"/>
          <w:lang w:val="en-GB"/>
        </w:rPr>
        <w:t xml:space="preserve"> (No. arXiv:2505.11548). arXiv. https://doi.org/10.48550/arXiv.2505.11548</w:t>
      </w:r>
    </w:p>
    <w:p w14:paraId="1192BD4F" w14:textId="77777777" w:rsidR="004A3333" w:rsidRPr="004A3333" w:rsidRDefault="004A3333" w:rsidP="004A3333">
      <w:pPr>
        <w:jc w:val="both"/>
        <w:rPr>
          <w:rFonts w:ascii="Aptos" w:hAnsi="Aptos"/>
          <w:lang w:val="en-GB"/>
        </w:rPr>
      </w:pPr>
      <w:r w:rsidRPr="004A3333">
        <w:rPr>
          <w:rFonts w:ascii="Aptos" w:hAnsi="Aptos"/>
          <w:lang w:val="en-GB"/>
        </w:rPr>
        <w:t xml:space="preserve">Lai, Jim. (2025, octubre 27). </w:t>
      </w:r>
      <w:r w:rsidRPr="004A3333">
        <w:rPr>
          <w:rFonts w:ascii="Aptos" w:hAnsi="Aptos"/>
          <w:i/>
          <w:iCs/>
          <w:lang w:val="en-GB"/>
        </w:rPr>
        <w:t>Projected Abliteration</w:t>
      </w:r>
      <w:r w:rsidRPr="004A3333">
        <w:rPr>
          <w:rFonts w:ascii="Aptos" w:hAnsi="Aptos"/>
          <w:lang w:val="en-GB"/>
        </w:rPr>
        <w:t>. Hugging Face. https://huggingface.co/blog/grimjim/projected-abliteration</w:t>
      </w:r>
    </w:p>
    <w:p w14:paraId="4575319A" w14:textId="77777777" w:rsidR="004A3333" w:rsidRPr="004A3333" w:rsidRDefault="004A3333" w:rsidP="004A3333">
      <w:pPr>
        <w:jc w:val="both"/>
        <w:rPr>
          <w:rFonts w:ascii="Aptos" w:hAnsi="Aptos"/>
          <w:lang w:val="en-GB"/>
        </w:rPr>
      </w:pPr>
      <w:r w:rsidRPr="004A3333">
        <w:rPr>
          <w:rFonts w:ascii="Aptos" w:hAnsi="Aptos"/>
          <w:lang w:val="en-GB"/>
        </w:rPr>
        <w:t xml:space="preserve">Lavrinovics, Ernests, Biswas, Russa, Bjerva, Johannes, &amp; Hose, Katja. (2025). Knowledge Graphs, Large Language Models, and Hallucinations: An NLP Perspective. </w:t>
      </w:r>
      <w:r w:rsidRPr="004A3333">
        <w:rPr>
          <w:rFonts w:ascii="Aptos" w:hAnsi="Aptos"/>
          <w:i/>
          <w:iCs/>
          <w:lang w:val="en-GB"/>
        </w:rPr>
        <w:t>Journal of Web Semantics</w:t>
      </w:r>
      <w:r w:rsidRPr="004A3333">
        <w:rPr>
          <w:rFonts w:ascii="Aptos" w:hAnsi="Aptos"/>
          <w:lang w:val="en-GB"/>
        </w:rPr>
        <w:t xml:space="preserve">, </w:t>
      </w:r>
      <w:r w:rsidRPr="004A3333">
        <w:rPr>
          <w:rFonts w:ascii="Aptos" w:hAnsi="Aptos"/>
          <w:i/>
          <w:iCs/>
          <w:lang w:val="en-GB"/>
        </w:rPr>
        <w:t>85</w:t>
      </w:r>
      <w:r w:rsidRPr="004A3333">
        <w:rPr>
          <w:rFonts w:ascii="Aptos" w:hAnsi="Aptos"/>
          <w:lang w:val="en-GB"/>
        </w:rPr>
        <w:t>, 100844. https://doi.org/10.1016/j.websem.2024.100844</w:t>
      </w:r>
    </w:p>
    <w:p w14:paraId="3BFCB9BC" w14:textId="77777777" w:rsidR="004A3333" w:rsidRPr="004A3333" w:rsidRDefault="004A3333" w:rsidP="004A3333">
      <w:pPr>
        <w:jc w:val="both"/>
        <w:rPr>
          <w:rFonts w:ascii="Aptos" w:hAnsi="Aptos"/>
          <w:lang w:val="en-GB"/>
        </w:rPr>
      </w:pPr>
      <w:r w:rsidRPr="004A3333">
        <w:rPr>
          <w:rFonts w:ascii="Aptos" w:hAnsi="Aptos"/>
          <w:lang w:val="en-GB"/>
        </w:rPr>
        <w:t xml:space="preserve">Souly, Alexandra, Rando, Javier, Chapman, Ed, Davies, Xander, Hasircioglu, Burak, Shereen, Ezzeldin, Mougan, Carlos, Mavroudis, Vasilios, Jones, Erik, Hicks, Chris, Carlini, Nicholas, Gal, Yarin, &amp; Kirk, Robert. (2025). </w:t>
      </w:r>
      <w:r w:rsidRPr="004A3333">
        <w:rPr>
          <w:rFonts w:ascii="Aptos" w:hAnsi="Aptos"/>
          <w:i/>
          <w:iCs/>
          <w:lang w:val="en-GB"/>
        </w:rPr>
        <w:t>Poisoning Attacks on LLMs Require a Near-constant Number of Poison Samples</w:t>
      </w:r>
      <w:r w:rsidRPr="004A3333">
        <w:rPr>
          <w:rFonts w:ascii="Aptos" w:hAnsi="Aptos"/>
          <w:lang w:val="en-GB"/>
        </w:rPr>
        <w:t xml:space="preserve"> (No. arXiv:2510.07192). arXiv. https://doi.org/10.48550/arXiv.2510.07192</w:t>
      </w:r>
    </w:p>
    <w:p w14:paraId="696E4480" w14:textId="77777777" w:rsidR="004A3333" w:rsidRPr="004A3333" w:rsidRDefault="004A3333" w:rsidP="004A3333">
      <w:pPr>
        <w:jc w:val="both"/>
        <w:rPr>
          <w:rFonts w:ascii="Aptos" w:hAnsi="Aptos"/>
          <w:lang w:val="en-GB"/>
        </w:rPr>
      </w:pPr>
      <w:r w:rsidRPr="004A3333">
        <w:rPr>
          <w:rFonts w:ascii="Aptos" w:hAnsi="Aptos"/>
          <w:lang w:val="en-GB"/>
        </w:rPr>
        <w:t xml:space="preserve">Yu, Hong Qing, &amp; McQuade, Frank. (2025). </w:t>
      </w:r>
      <w:r w:rsidRPr="004A3333">
        <w:rPr>
          <w:rFonts w:ascii="Aptos" w:hAnsi="Aptos"/>
          <w:i/>
          <w:iCs/>
          <w:lang w:val="en-GB"/>
        </w:rPr>
        <w:t>RAG-KG-IL: A Multi-Agent Hybrid Framework for Reducing Hallucinations and Enhancing LLM Reasoning through RAG and Incremental Knowledge Graph Learning Integration</w:t>
      </w:r>
      <w:r w:rsidRPr="004A3333">
        <w:rPr>
          <w:rFonts w:ascii="Aptos" w:hAnsi="Aptos"/>
          <w:lang w:val="en-GB"/>
        </w:rPr>
        <w:t xml:space="preserve"> (No. arXiv:2503.13514). arXiv. https://doi.org/10.48550/arXiv.2503.13514</w:t>
      </w:r>
    </w:p>
    <w:p w14:paraId="66E79E5B" w14:textId="2D403322" w:rsidR="004A3333" w:rsidRPr="004A3333" w:rsidRDefault="004A3333" w:rsidP="004A3333">
      <w:pPr>
        <w:jc w:val="both"/>
        <w:rPr>
          <w:lang w:val="en-GB"/>
        </w:rPr>
      </w:pPr>
      <w:r w:rsidRPr="004A3333">
        <w:rPr>
          <w:rFonts w:ascii="Aptos" w:hAnsi="Aptos"/>
          <w:lang w:val="en-GB"/>
        </w:rPr>
        <w:t xml:space="preserve">Zou, Wei, Geng, Runpeng, Wang, Binghui, &amp; Jia, Jinyuan. (2025). PoisonedRAG: Knowledge Corruption Attacks to Retrieval-Augmented Generation of Large Language Models. </w:t>
      </w:r>
      <w:r w:rsidRPr="004A3333">
        <w:rPr>
          <w:rFonts w:ascii="Aptos" w:hAnsi="Aptos"/>
          <w:i/>
          <w:iCs/>
          <w:lang w:val="en-GB"/>
        </w:rPr>
        <w:t>34th USENIX Security Symposium (USENIX Security 25)</w:t>
      </w:r>
      <w:r w:rsidRPr="004A3333">
        <w:rPr>
          <w:rFonts w:ascii="Aptos" w:hAnsi="Aptos"/>
          <w:lang w:val="en-GB"/>
        </w:rPr>
        <w:t>, 3827-3844. https://www.usenix.org/conference/usenixsecurity25/presentation/zou-poisonedrag</w:t>
      </w:r>
    </w:p>
    <w:p w14:paraId="158B401C" w14:textId="77777777" w:rsidR="004A3333" w:rsidRPr="004A3333" w:rsidRDefault="004A3333" w:rsidP="004810C5">
      <w:pPr>
        <w:jc w:val="both"/>
        <w:rPr>
          <w:lang w:val="en-GB"/>
        </w:rPr>
      </w:pPr>
    </w:p>
    <w:sectPr w:rsidR="004A3333" w:rsidRPr="004A3333" w:rsidSect="00645743">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6FB7C" w14:textId="77777777" w:rsidR="00DF4C73" w:rsidRDefault="00DF4C73" w:rsidP="00A720DE">
      <w:pPr>
        <w:spacing w:after="0" w:line="240" w:lineRule="auto"/>
      </w:pPr>
      <w:r>
        <w:separator/>
      </w:r>
    </w:p>
  </w:endnote>
  <w:endnote w:type="continuationSeparator" w:id="0">
    <w:p w14:paraId="05865F9A" w14:textId="77777777" w:rsidR="00DF4C73" w:rsidRDefault="00DF4C73" w:rsidP="00A72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965606"/>
      <w:docPartObj>
        <w:docPartGallery w:val="Page Numbers (Bottom of Page)"/>
        <w:docPartUnique/>
      </w:docPartObj>
    </w:sdtPr>
    <w:sdtContent>
      <w:p w14:paraId="59F0565C" w14:textId="1EC8BD48" w:rsidR="00A720DE" w:rsidRDefault="00A720DE">
        <w:pPr>
          <w:pStyle w:val="Piedepgina"/>
          <w:jc w:val="right"/>
        </w:pPr>
        <w:r>
          <w:fldChar w:fldCharType="begin"/>
        </w:r>
        <w:r>
          <w:instrText>PAGE   \* MERGEFORMAT</w:instrText>
        </w:r>
        <w:r>
          <w:fldChar w:fldCharType="separate"/>
        </w:r>
        <w:r>
          <w:t>2</w:t>
        </w:r>
        <w:r>
          <w:fldChar w:fldCharType="end"/>
        </w:r>
      </w:p>
    </w:sdtContent>
  </w:sdt>
  <w:p w14:paraId="336700AE" w14:textId="77777777" w:rsidR="00A720DE" w:rsidRDefault="00A720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3E02" w14:textId="77777777" w:rsidR="00DF4C73" w:rsidRDefault="00DF4C73" w:rsidP="00A720DE">
      <w:pPr>
        <w:spacing w:after="0" w:line="240" w:lineRule="auto"/>
      </w:pPr>
      <w:r>
        <w:separator/>
      </w:r>
    </w:p>
  </w:footnote>
  <w:footnote w:type="continuationSeparator" w:id="0">
    <w:p w14:paraId="1EF10B66" w14:textId="77777777" w:rsidR="00DF4C73" w:rsidRDefault="00DF4C73" w:rsidP="00A72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97537"/>
    <w:multiLevelType w:val="multilevel"/>
    <w:tmpl w:val="109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B0CF1"/>
    <w:multiLevelType w:val="multilevel"/>
    <w:tmpl w:val="4D1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A0263"/>
    <w:multiLevelType w:val="hybridMultilevel"/>
    <w:tmpl w:val="CE8A12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9565938"/>
    <w:multiLevelType w:val="multilevel"/>
    <w:tmpl w:val="EB8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E626D"/>
    <w:multiLevelType w:val="multilevel"/>
    <w:tmpl w:val="9974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75EE9"/>
    <w:multiLevelType w:val="hybridMultilevel"/>
    <w:tmpl w:val="9D068F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D62CFB"/>
    <w:multiLevelType w:val="hybridMultilevel"/>
    <w:tmpl w:val="A0987A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43B1BD0"/>
    <w:multiLevelType w:val="multilevel"/>
    <w:tmpl w:val="6A3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947F9"/>
    <w:multiLevelType w:val="multilevel"/>
    <w:tmpl w:val="BEC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C1C3E"/>
    <w:multiLevelType w:val="multilevel"/>
    <w:tmpl w:val="3FEED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EF027E"/>
    <w:multiLevelType w:val="hybridMultilevel"/>
    <w:tmpl w:val="0FAC992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8F53F33"/>
    <w:multiLevelType w:val="hybridMultilevel"/>
    <w:tmpl w:val="41D4E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DA931DE"/>
    <w:multiLevelType w:val="multilevel"/>
    <w:tmpl w:val="7CA6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CA6437"/>
    <w:multiLevelType w:val="hybridMultilevel"/>
    <w:tmpl w:val="AA889C1A"/>
    <w:lvl w:ilvl="0" w:tplc="C21680E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900703">
    <w:abstractNumId w:val="6"/>
  </w:num>
  <w:num w:numId="2" w16cid:durableId="1307665206">
    <w:abstractNumId w:val="13"/>
  </w:num>
  <w:num w:numId="3" w16cid:durableId="1504735192">
    <w:abstractNumId w:val="10"/>
  </w:num>
  <w:num w:numId="4" w16cid:durableId="117915327">
    <w:abstractNumId w:val="11"/>
  </w:num>
  <w:num w:numId="5" w16cid:durableId="53507555">
    <w:abstractNumId w:val="8"/>
  </w:num>
  <w:num w:numId="6" w16cid:durableId="916862053">
    <w:abstractNumId w:val="7"/>
  </w:num>
  <w:num w:numId="7" w16cid:durableId="1587375058">
    <w:abstractNumId w:val="4"/>
  </w:num>
  <w:num w:numId="8" w16cid:durableId="1948004013">
    <w:abstractNumId w:val="0"/>
  </w:num>
  <w:num w:numId="9" w16cid:durableId="5450185">
    <w:abstractNumId w:val="12"/>
  </w:num>
  <w:num w:numId="10" w16cid:durableId="1436752814">
    <w:abstractNumId w:val="3"/>
  </w:num>
  <w:num w:numId="11" w16cid:durableId="1791437255">
    <w:abstractNumId w:val="1"/>
  </w:num>
  <w:num w:numId="12" w16cid:durableId="1037048519">
    <w:abstractNumId w:val="9"/>
  </w:num>
  <w:num w:numId="13" w16cid:durableId="1718892078">
    <w:abstractNumId w:val="2"/>
  </w:num>
  <w:num w:numId="14" w16cid:durableId="227812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0DE"/>
    <w:rsid w:val="00064CD8"/>
    <w:rsid w:val="001D0874"/>
    <w:rsid w:val="0024115E"/>
    <w:rsid w:val="002C0058"/>
    <w:rsid w:val="003A176D"/>
    <w:rsid w:val="004063F5"/>
    <w:rsid w:val="004810C5"/>
    <w:rsid w:val="004A3333"/>
    <w:rsid w:val="005A4036"/>
    <w:rsid w:val="005D0BF2"/>
    <w:rsid w:val="00610BF0"/>
    <w:rsid w:val="00645743"/>
    <w:rsid w:val="00672569"/>
    <w:rsid w:val="00703C88"/>
    <w:rsid w:val="0079062F"/>
    <w:rsid w:val="0083367F"/>
    <w:rsid w:val="00845264"/>
    <w:rsid w:val="008C405E"/>
    <w:rsid w:val="009D654E"/>
    <w:rsid w:val="009F6B5C"/>
    <w:rsid w:val="00A036B2"/>
    <w:rsid w:val="00A26BAA"/>
    <w:rsid w:val="00A720DE"/>
    <w:rsid w:val="00AE1A7E"/>
    <w:rsid w:val="00B16646"/>
    <w:rsid w:val="00CC4094"/>
    <w:rsid w:val="00D260BF"/>
    <w:rsid w:val="00D35208"/>
    <w:rsid w:val="00DF4C73"/>
    <w:rsid w:val="00E100ED"/>
    <w:rsid w:val="00E77758"/>
    <w:rsid w:val="00EA0117"/>
  </w:rsids>
  <m:mathPr>
    <m:mathFont m:val="Cambria Math"/>
    <m:brkBin m:val="before"/>
    <m:brkBinSub m:val="--"/>
    <m:smallFrac m:val="0"/>
    <m:dispDef/>
    <m:lMargin m:val="0"/>
    <m:rMargin m:val="0"/>
    <m:defJc m:val="centerGroup"/>
    <m:wrapIndent m:val="1440"/>
    <m:intLim m:val="subSup"/>
    <m:naryLim m:val="undOvr"/>
  </m:mathPr>
  <w:themeFontLang w:val="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38C2"/>
  <w15:chartTrackingRefBased/>
  <w15:docId w15:val="{FD3CB3E2-884F-436A-9384-6FF98DA0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2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2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20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20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20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20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20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20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20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20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20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20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20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20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20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20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20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20DE"/>
    <w:rPr>
      <w:rFonts w:eastAsiaTheme="majorEastAsia" w:cstheme="majorBidi"/>
      <w:color w:val="272727" w:themeColor="text1" w:themeTint="D8"/>
    </w:rPr>
  </w:style>
  <w:style w:type="paragraph" w:styleId="Ttulo">
    <w:name w:val="Title"/>
    <w:basedOn w:val="Normal"/>
    <w:next w:val="Normal"/>
    <w:link w:val="TtuloCar"/>
    <w:uiPriority w:val="10"/>
    <w:qFormat/>
    <w:rsid w:val="00A72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20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20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20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20DE"/>
    <w:pPr>
      <w:spacing w:before="160"/>
      <w:jc w:val="center"/>
    </w:pPr>
    <w:rPr>
      <w:i/>
      <w:iCs/>
      <w:color w:val="404040" w:themeColor="text1" w:themeTint="BF"/>
    </w:rPr>
  </w:style>
  <w:style w:type="character" w:customStyle="1" w:styleId="CitaCar">
    <w:name w:val="Cita Car"/>
    <w:basedOn w:val="Fuentedeprrafopredeter"/>
    <w:link w:val="Cita"/>
    <w:uiPriority w:val="29"/>
    <w:rsid w:val="00A720DE"/>
    <w:rPr>
      <w:i/>
      <w:iCs/>
      <w:color w:val="404040" w:themeColor="text1" w:themeTint="BF"/>
    </w:rPr>
  </w:style>
  <w:style w:type="paragraph" w:styleId="Prrafodelista">
    <w:name w:val="List Paragraph"/>
    <w:basedOn w:val="Normal"/>
    <w:uiPriority w:val="34"/>
    <w:qFormat/>
    <w:rsid w:val="00A720DE"/>
    <w:pPr>
      <w:ind w:left="720"/>
      <w:contextualSpacing/>
    </w:pPr>
  </w:style>
  <w:style w:type="character" w:styleId="nfasisintenso">
    <w:name w:val="Intense Emphasis"/>
    <w:basedOn w:val="Fuentedeprrafopredeter"/>
    <w:uiPriority w:val="21"/>
    <w:qFormat/>
    <w:rsid w:val="00A720DE"/>
    <w:rPr>
      <w:i/>
      <w:iCs/>
      <w:color w:val="0F4761" w:themeColor="accent1" w:themeShade="BF"/>
    </w:rPr>
  </w:style>
  <w:style w:type="paragraph" w:styleId="Citadestacada">
    <w:name w:val="Intense Quote"/>
    <w:basedOn w:val="Normal"/>
    <w:next w:val="Normal"/>
    <w:link w:val="CitadestacadaCar"/>
    <w:uiPriority w:val="30"/>
    <w:qFormat/>
    <w:rsid w:val="00A72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20DE"/>
    <w:rPr>
      <w:i/>
      <w:iCs/>
      <w:color w:val="0F4761" w:themeColor="accent1" w:themeShade="BF"/>
    </w:rPr>
  </w:style>
  <w:style w:type="character" w:styleId="Referenciaintensa">
    <w:name w:val="Intense Reference"/>
    <w:basedOn w:val="Fuentedeprrafopredeter"/>
    <w:uiPriority w:val="32"/>
    <w:qFormat/>
    <w:rsid w:val="00A720DE"/>
    <w:rPr>
      <w:b/>
      <w:bCs/>
      <w:smallCaps/>
      <w:color w:val="0F4761" w:themeColor="accent1" w:themeShade="BF"/>
      <w:spacing w:val="5"/>
    </w:rPr>
  </w:style>
  <w:style w:type="paragraph" w:styleId="Encabezado">
    <w:name w:val="header"/>
    <w:basedOn w:val="Normal"/>
    <w:link w:val="EncabezadoCar"/>
    <w:uiPriority w:val="99"/>
    <w:unhideWhenUsed/>
    <w:rsid w:val="00A720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20DE"/>
  </w:style>
  <w:style w:type="paragraph" w:styleId="Piedepgina">
    <w:name w:val="footer"/>
    <w:basedOn w:val="Normal"/>
    <w:link w:val="PiedepginaCar"/>
    <w:uiPriority w:val="99"/>
    <w:unhideWhenUsed/>
    <w:rsid w:val="00A720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20DE"/>
  </w:style>
  <w:style w:type="character" w:styleId="Hipervnculo">
    <w:name w:val="Hyperlink"/>
    <w:basedOn w:val="Fuentedeprrafopredeter"/>
    <w:uiPriority w:val="99"/>
    <w:unhideWhenUsed/>
    <w:rsid w:val="004810C5"/>
    <w:rPr>
      <w:color w:val="467886" w:themeColor="hyperlink"/>
      <w:u w:val="single"/>
    </w:rPr>
  </w:style>
  <w:style w:type="character" w:styleId="Mencinsinresolver">
    <w:name w:val="Unresolved Mention"/>
    <w:basedOn w:val="Fuentedeprrafopredeter"/>
    <w:uiPriority w:val="99"/>
    <w:semiHidden/>
    <w:unhideWhenUsed/>
    <w:rsid w:val="004810C5"/>
    <w:rPr>
      <w:color w:val="605E5C"/>
      <w:shd w:val="clear" w:color="auto" w:fill="E1DFDD"/>
    </w:rPr>
  </w:style>
  <w:style w:type="paragraph" w:styleId="NormalWeb">
    <w:name w:val="Normal (Web)"/>
    <w:basedOn w:val="Normal"/>
    <w:uiPriority w:val="99"/>
    <w:unhideWhenUsed/>
    <w:rsid w:val="004810C5"/>
    <w:pPr>
      <w:spacing w:before="100" w:beforeAutospacing="1" w:after="100" w:afterAutospacing="1" w:line="240" w:lineRule="auto"/>
    </w:pPr>
    <w:rPr>
      <w:rFonts w:ascii="Times New Roman" w:eastAsia="Times New Roman" w:hAnsi="Times New Roman" w:cs="Times New Roman"/>
      <w:lang w:eastAsia="es-ES"/>
      <w14:ligatures w14:val="none"/>
    </w:rPr>
  </w:style>
  <w:style w:type="character" w:styleId="Textoennegrita">
    <w:name w:val="Strong"/>
    <w:basedOn w:val="Fuentedeprrafopredeter"/>
    <w:uiPriority w:val="22"/>
    <w:qFormat/>
    <w:rsid w:val="004810C5"/>
    <w:rPr>
      <w:b/>
      <w:bCs/>
    </w:rPr>
  </w:style>
  <w:style w:type="character" w:styleId="nfasis">
    <w:name w:val="Emphasis"/>
    <w:basedOn w:val="Fuentedeprrafopredeter"/>
    <w:uiPriority w:val="20"/>
    <w:qFormat/>
    <w:rsid w:val="004810C5"/>
    <w:rPr>
      <w:i/>
      <w:iCs/>
    </w:rPr>
  </w:style>
  <w:style w:type="paragraph" w:styleId="Bibliografa">
    <w:name w:val="Bibliography"/>
    <w:basedOn w:val="Normal"/>
    <w:next w:val="Normal"/>
    <w:uiPriority w:val="37"/>
    <w:unhideWhenUsed/>
    <w:rsid w:val="004A333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ubxat.peninsula.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1489</Words>
  <Characters>8194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Miquel Centelles Velilla</dc:creator>
  <cp:keywords/>
  <dc:description/>
  <cp:lastModifiedBy>Miquel Centelles Velilla</cp:lastModifiedBy>
  <cp:revision>6</cp:revision>
  <dcterms:created xsi:type="dcterms:W3CDTF">2025-11-21T12:25:00Z</dcterms:created>
  <dcterms:modified xsi:type="dcterms:W3CDTF">2025-11-21T14:40:00Z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id="Rie04r73"/&gt;&lt;style id="http://www.zotero.org/styles/apa-no-initials" locale="es-ES" hasBibliography="1" bibliographyStyleHasBeenSet="1"/&gt;&lt;prefs&gt;&lt;pref name="fieldType" value="Field"/&gt;&lt;/prefs&gt;&lt;/data</vt:lpwstr>
  </property>
  <property fmtid="{D5CDD505-2E9C-101B-9397-08002B2CF9AE}" pid="3" name="ZOTERO_PREF_2">
    <vt:lpwstr>&gt;</vt:lpwstr>
  </property>
</Properties>
</file>