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7D9A0" w14:textId="77777777" w:rsidR="00DB38CA" w:rsidRDefault="00DB38CA">
      <w:bookmarkStart w:id="0" w:name="marco-metodológico"/>
    </w:p>
    <w:tbl>
      <w:tblPr>
        <w:tblStyle w:val="PlainTable1"/>
        <w:tblW w:w="5000" w:type="pct"/>
        <w:tblLayout w:type="fixed"/>
        <w:tblLook w:val="0020" w:firstRow="1" w:lastRow="0" w:firstColumn="0" w:lastColumn="0" w:noHBand="0" w:noVBand="0"/>
      </w:tblPr>
      <w:tblGrid>
        <w:gridCol w:w="2518"/>
        <w:gridCol w:w="4820"/>
        <w:gridCol w:w="3543"/>
        <w:gridCol w:w="2295"/>
      </w:tblGrid>
      <w:tr w:rsidR="00DB38CA" w14:paraId="258BD6B1" w14:textId="77777777" w:rsidTr="00CF0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8" w:type="dxa"/>
            <w:shd w:val="clear" w:color="auto" w:fill="ADADAD" w:themeFill="background2" w:themeFillShade="BF"/>
          </w:tcPr>
          <w:p w14:paraId="3EC4B2C8" w14:textId="77777777" w:rsidR="00DB38CA" w:rsidRDefault="00000000">
            <w:pPr>
              <w:pStyle w:val="Compact"/>
            </w:pPr>
            <w:r>
              <w:t>Dimension</w:t>
            </w:r>
          </w:p>
        </w:tc>
        <w:tc>
          <w:tcPr>
            <w:tcW w:w="4820" w:type="dxa"/>
            <w:shd w:val="clear" w:color="auto" w:fill="ADADAD" w:themeFill="background2" w:themeFillShade="BF"/>
          </w:tcPr>
          <w:p w14:paraId="1B0B6C77" w14:textId="77777777" w:rsidR="00DB38C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Analytical Variable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3" w:type="dxa"/>
            <w:shd w:val="clear" w:color="auto" w:fill="ADADAD" w:themeFill="background2" w:themeFillShade="BF"/>
          </w:tcPr>
          <w:p w14:paraId="204CC17D" w14:textId="77777777" w:rsidR="00DB38CA" w:rsidRDefault="00000000">
            <w:pPr>
              <w:pStyle w:val="Compact"/>
            </w:pPr>
            <w:r>
              <w:t>Description</w:t>
            </w:r>
          </w:p>
        </w:tc>
        <w:tc>
          <w:tcPr>
            <w:tcW w:w="2295" w:type="dxa"/>
            <w:shd w:val="clear" w:color="auto" w:fill="ADADAD" w:themeFill="background2" w:themeFillShade="BF"/>
          </w:tcPr>
          <w:p w14:paraId="3BA78AFD" w14:textId="77777777" w:rsidR="00DB38C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References</w:t>
            </w:r>
          </w:p>
        </w:tc>
      </w:tr>
      <w:tr w:rsidR="00CF03A5" w14:paraId="6E875BB5" w14:textId="77777777" w:rsidTr="00CF0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8" w:type="dxa"/>
            <w:vMerge w:val="restart"/>
          </w:tcPr>
          <w:p w14:paraId="00B8026C" w14:textId="77777777" w:rsidR="00CF03A5" w:rsidRDefault="00CF03A5">
            <w:pPr>
              <w:pStyle w:val="Compact"/>
            </w:pPr>
            <w:r>
              <w:t>1. User integration phases and process-driven patterns</w:t>
            </w:r>
          </w:p>
        </w:tc>
        <w:tc>
          <w:tcPr>
            <w:tcW w:w="4820" w:type="dxa"/>
            <w:shd w:val="clear" w:color="auto" w:fill="FFFFFF" w:themeFill="background1"/>
          </w:tcPr>
          <w:p w14:paraId="2E418C9A" w14:textId="77777777" w:rsidR="00CF03A5" w:rsidRDefault="00CF03A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Iterations of conceptualization, design, development, technology deployment and its ongoing evaluation and monitoring of the participation effectiveness.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3" w:type="dxa"/>
            <w:shd w:val="clear" w:color="auto" w:fill="FFFFFF" w:themeFill="background1"/>
          </w:tcPr>
          <w:p w14:paraId="23BBBF99" w14:textId="77777777" w:rsidR="00CF03A5" w:rsidRDefault="00CF03A5">
            <w:pPr>
              <w:pStyle w:val="Compact"/>
            </w:pPr>
            <w:r>
              <w:t>Phases of a general design process or a technological development</w:t>
            </w:r>
          </w:p>
        </w:tc>
        <w:tc>
          <w:tcPr>
            <w:tcW w:w="2295" w:type="dxa"/>
            <w:shd w:val="clear" w:color="auto" w:fill="FFFFFF" w:themeFill="background1"/>
          </w:tcPr>
          <w:p w14:paraId="74B212C7" w14:textId="01B85B5C" w:rsidR="00CF03A5" w:rsidRDefault="00CF03A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03A5">
              <w:t xml:space="preserve">(Waidelich </w:t>
            </w:r>
            <w:r w:rsidRPr="00CF03A5">
              <w:rPr>
                <w:i/>
                <w:iCs/>
              </w:rPr>
              <w:t>et al</w:t>
            </w:r>
            <w:r>
              <w:t>.</w:t>
            </w:r>
            <w:r w:rsidRPr="00CF03A5">
              <w:t>, 2018</w:t>
            </w:r>
            <w:r>
              <w:t xml:space="preserve">; </w:t>
            </w:r>
            <w:r w:rsidRPr="00CF03A5">
              <w:t>Calvano, 2025)</w:t>
            </w:r>
          </w:p>
        </w:tc>
      </w:tr>
      <w:tr w:rsidR="00CF03A5" w14:paraId="3DB60094" w14:textId="77777777" w:rsidTr="00CF03A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8" w:type="dxa"/>
            <w:vMerge/>
          </w:tcPr>
          <w:p w14:paraId="59D61721" w14:textId="77777777" w:rsidR="00CF03A5" w:rsidRDefault="00CF03A5">
            <w:pPr>
              <w:pStyle w:val="Compact"/>
            </w:pPr>
          </w:p>
        </w:tc>
        <w:tc>
          <w:tcPr>
            <w:tcW w:w="4820" w:type="dxa"/>
            <w:shd w:val="clear" w:color="auto" w:fill="FFFFFF" w:themeFill="background1"/>
          </w:tcPr>
          <w:p w14:paraId="054227E1" w14:textId="77777777" w:rsidR="00CF03A5" w:rsidRDefault="00CF03A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Research design, information gathering, field work, analysis, science communication, knowledge transference, and impact evaluation.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3" w:type="dxa"/>
            <w:shd w:val="clear" w:color="auto" w:fill="FFFFFF" w:themeFill="background1"/>
          </w:tcPr>
          <w:p w14:paraId="5600A2E0" w14:textId="77777777" w:rsidR="00CF03A5" w:rsidRDefault="00CF03A5">
            <w:pPr>
              <w:pStyle w:val="Compact"/>
            </w:pPr>
            <w:r>
              <w:t>Phases of a research process which includes the citizen science approach</w:t>
            </w:r>
          </w:p>
        </w:tc>
        <w:tc>
          <w:tcPr>
            <w:tcW w:w="2295" w:type="dxa"/>
            <w:shd w:val="clear" w:color="auto" w:fill="FFFFFF" w:themeFill="background1"/>
          </w:tcPr>
          <w:p w14:paraId="717557CB" w14:textId="5E17F136" w:rsidR="00CF03A5" w:rsidRDefault="00CF03A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03A5">
              <w:t xml:space="preserve">(Turnhout </w:t>
            </w:r>
            <w:r w:rsidRPr="00CF03A5">
              <w:rPr>
                <w:i/>
                <w:iCs/>
              </w:rPr>
              <w:t>et al.</w:t>
            </w:r>
            <w:r w:rsidRPr="00CF03A5">
              <w:t>, 2020</w:t>
            </w:r>
            <w:r>
              <w:t xml:space="preserve">; </w:t>
            </w:r>
            <w:proofErr w:type="spellStart"/>
            <w:r w:rsidRPr="00CF03A5">
              <w:t>Haklay</w:t>
            </w:r>
            <w:proofErr w:type="spellEnd"/>
            <w:r w:rsidRPr="00CF03A5">
              <w:t xml:space="preserve"> </w:t>
            </w:r>
            <w:r w:rsidRPr="00CF03A5">
              <w:rPr>
                <w:i/>
                <w:iCs/>
              </w:rPr>
              <w:t>et al</w:t>
            </w:r>
            <w:r>
              <w:t>.</w:t>
            </w:r>
            <w:r w:rsidRPr="00CF03A5">
              <w:t>, 2020)</w:t>
            </w:r>
          </w:p>
        </w:tc>
      </w:tr>
      <w:tr w:rsidR="00CF03A5" w14:paraId="0E3380CC" w14:textId="77777777" w:rsidTr="00CF0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8" w:type="dxa"/>
            <w:vMerge/>
          </w:tcPr>
          <w:p w14:paraId="0A4114F2" w14:textId="77777777" w:rsidR="00CF03A5" w:rsidRDefault="00CF03A5">
            <w:pPr>
              <w:pStyle w:val="Compact"/>
            </w:pPr>
          </w:p>
        </w:tc>
        <w:tc>
          <w:tcPr>
            <w:tcW w:w="4820" w:type="dxa"/>
            <w:shd w:val="clear" w:color="auto" w:fill="FFFFFF" w:themeFill="background1"/>
          </w:tcPr>
          <w:p w14:paraId="7DCD3FF5" w14:textId="77777777" w:rsidR="00CF03A5" w:rsidRDefault="00CF03A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Early, constant, late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3" w:type="dxa"/>
            <w:shd w:val="clear" w:color="auto" w:fill="FFFFFF" w:themeFill="background1"/>
          </w:tcPr>
          <w:p w14:paraId="461B951C" w14:textId="77777777" w:rsidR="00CF03A5" w:rsidRDefault="00CF03A5">
            <w:pPr>
              <w:pStyle w:val="Compact"/>
            </w:pPr>
            <w:r>
              <w:t>If user participation is found after deployment/analysis phases, it’s an early integration, otherwise it’s late. Constant monitoring is also found.</w:t>
            </w:r>
          </w:p>
        </w:tc>
        <w:tc>
          <w:tcPr>
            <w:tcW w:w="2295" w:type="dxa"/>
            <w:shd w:val="clear" w:color="auto" w:fill="FFFFFF" w:themeFill="background1"/>
          </w:tcPr>
          <w:p w14:paraId="2B39247B" w14:textId="2A8F7BC2" w:rsidR="00CF03A5" w:rsidRDefault="00CF03A5" w:rsidP="00CF03A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(Fox and Chandrasekar, 2021</w:t>
            </w:r>
            <w:r>
              <w:t xml:space="preserve">; </w:t>
            </w:r>
            <w:r>
              <w:t>Calvano, 2025)</w:t>
            </w:r>
          </w:p>
          <w:p w14:paraId="2B343DCC" w14:textId="104B63A3" w:rsidR="00CF03A5" w:rsidRDefault="00CF03A5" w:rsidP="00CF03A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F03A5" w14:paraId="41350023" w14:textId="77777777" w:rsidTr="00CF03A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8" w:type="dxa"/>
            <w:vMerge w:val="restart"/>
          </w:tcPr>
          <w:p w14:paraId="68E0C2BC" w14:textId="77777777" w:rsidR="00CF03A5" w:rsidRDefault="00CF03A5">
            <w:pPr>
              <w:pStyle w:val="Compact"/>
            </w:pPr>
            <w:r>
              <w:t>2. Participatory approaches and methodological tools</w:t>
            </w:r>
          </w:p>
        </w:tc>
        <w:tc>
          <w:tcPr>
            <w:tcW w:w="4820" w:type="dxa"/>
            <w:shd w:val="clear" w:color="auto" w:fill="FFFFFF" w:themeFill="background1"/>
          </w:tcPr>
          <w:p w14:paraId="119BA215" w14:textId="77777777" w:rsidR="00CF03A5" w:rsidRDefault="00CF03A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Participatory design workshops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3" w:type="dxa"/>
            <w:shd w:val="clear" w:color="auto" w:fill="FFFFFF" w:themeFill="background1"/>
          </w:tcPr>
          <w:p w14:paraId="1AA5B5CE" w14:textId="77777777" w:rsidR="00CF03A5" w:rsidRDefault="00CF03A5">
            <w:pPr>
              <w:pStyle w:val="Compact"/>
            </w:pPr>
            <w:r>
              <w:t>Although is a general way of describing the activity, is commonly refered to different forms of user consultation (interviews, focus groups, hands-on workshops)</w:t>
            </w:r>
          </w:p>
        </w:tc>
        <w:tc>
          <w:tcPr>
            <w:tcW w:w="2295" w:type="dxa"/>
            <w:shd w:val="clear" w:color="auto" w:fill="FFFFFF" w:themeFill="background1"/>
          </w:tcPr>
          <w:p w14:paraId="57B6864F" w14:textId="5EAFB4C1" w:rsidR="00CF03A5" w:rsidRDefault="00CF03A5" w:rsidP="00CF03A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(Delgado </w:t>
            </w:r>
            <w:r w:rsidRPr="00CF03A5">
              <w:rPr>
                <w:i/>
                <w:iCs/>
              </w:rPr>
              <w:t>et al</w:t>
            </w:r>
            <w:r>
              <w:t>, 2023)</w:t>
            </w:r>
          </w:p>
          <w:p w14:paraId="623C5FD3" w14:textId="393FF201" w:rsidR="00CF03A5" w:rsidRDefault="00CF03A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F03A5" w14:paraId="1A8184EE" w14:textId="77777777" w:rsidTr="00CF0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8" w:type="dxa"/>
            <w:vMerge/>
          </w:tcPr>
          <w:p w14:paraId="29531A6E" w14:textId="77777777" w:rsidR="00CF03A5" w:rsidRDefault="00CF03A5">
            <w:pPr>
              <w:pStyle w:val="Compact"/>
            </w:pPr>
          </w:p>
        </w:tc>
        <w:tc>
          <w:tcPr>
            <w:tcW w:w="4820" w:type="dxa"/>
            <w:shd w:val="clear" w:color="auto" w:fill="FFFFFF" w:themeFill="background1"/>
          </w:tcPr>
          <w:p w14:paraId="7429AE06" w14:textId="77777777" w:rsidR="00CF03A5" w:rsidRDefault="00CF03A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Co-design sessions and co-creative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3" w:type="dxa"/>
            <w:shd w:val="clear" w:color="auto" w:fill="FFFFFF" w:themeFill="background1"/>
          </w:tcPr>
          <w:p w14:paraId="7E0601A1" w14:textId="77777777" w:rsidR="00CF03A5" w:rsidRDefault="00CF03A5">
            <w:pPr>
              <w:pStyle w:val="Compact"/>
            </w:pPr>
            <w:r>
              <w:t>Any act of collective creativity (including neurosymbolical AI tools), as the authors define.</w:t>
            </w:r>
          </w:p>
        </w:tc>
        <w:tc>
          <w:tcPr>
            <w:tcW w:w="2295" w:type="dxa"/>
            <w:shd w:val="clear" w:color="auto" w:fill="FFFFFF" w:themeFill="background1"/>
          </w:tcPr>
          <w:p w14:paraId="47797B71" w14:textId="0F5E4816" w:rsidR="00CF03A5" w:rsidRDefault="00CF03A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03A5">
              <w:t>(</w:t>
            </w:r>
            <w:proofErr w:type="spellStart"/>
            <w:r w:rsidRPr="00CF03A5">
              <w:t>Stappers</w:t>
            </w:r>
            <w:proofErr w:type="spellEnd"/>
            <w:r w:rsidRPr="00CF03A5">
              <w:t xml:space="preserve"> and Sanders, 2008</w:t>
            </w:r>
            <w:r>
              <w:t xml:space="preserve">; </w:t>
            </w:r>
            <w:r w:rsidRPr="00CF03A5">
              <w:t>Liu, 2025)</w:t>
            </w:r>
          </w:p>
        </w:tc>
      </w:tr>
      <w:tr w:rsidR="00CF03A5" w14:paraId="000346B3" w14:textId="77777777" w:rsidTr="00CF03A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8" w:type="dxa"/>
            <w:vMerge/>
          </w:tcPr>
          <w:p w14:paraId="75D560FF" w14:textId="77777777" w:rsidR="00CF03A5" w:rsidRDefault="00CF03A5">
            <w:pPr>
              <w:pStyle w:val="Compact"/>
            </w:pPr>
          </w:p>
        </w:tc>
        <w:tc>
          <w:tcPr>
            <w:tcW w:w="4820" w:type="dxa"/>
            <w:shd w:val="clear" w:color="auto" w:fill="FFFFFF" w:themeFill="background1"/>
          </w:tcPr>
          <w:p w14:paraId="15F6FBDE" w14:textId="77777777" w:rsidR="00CF03A5" w:rsidRDefault="00CF03A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testing and interface evaluation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3" w:type="dxa"/>
            <w:shd w:val="clear" w:color="auto" w:fill="FFFFFF" w:themeFill="background1"/>
          </w:tcPr>
          <w:p w14:paraId="3F293669" w14:textId="77777777" w:rsidR="00CF03A5" w:rsidRDefault="00CF03A5">
            <w:pPr>
              <w:pStyle w:val="Compact"/>
            </w:pPr>
            <w:r>
              <w:t>Set of techniques used to identify specific usability issues with products.</w:t>
            </w:r>
          </w:p>
        </w:tc>
        <w:tc>
          <w:tcPr>
            <w:tcW w:w="2295" w:type="dxa"/>
            <w:shd w:val="clear" w:color="auto" w:fill="FFFFFF" w:themeFill="background1"/>
          </w:tcPr>
          <w:p w14:paraId="2B192DEA" w14:textId="1AE91446" w:rsidR="00CF03A5" w:rsidRDefault="00CF03A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03A5">
              <w:t>(</w:t>
            </w:r>
            <w:proofErr w:type="spellStart"/>
            <w:r w:rsidRPr="00CF03A5">
              <w:t>Mahdie</w:t>
            </w:r>
            <w:proofErr w:type="spellEnd"/>
            <w:r w:rsidRPr="00CF03A5">
              <w:t xml:space="preserve"> </w:t>
            </w:r>
            <w:r w:rsidRPr="00CF03A5">
              <w:rPr>
                <w:i/>
                <w:iCs/>
              </w:rPr>
              <w:t>et al</w:t>
            </w:r>
            <w:r>
              <w:t>.</w:t>
            </w:r>
            <w:r w:rsidRPr="00CF03A5">
              <w:t>, 2024)</w:t>
            </w:r>
          </w:p>
        </w:tc>
      </w:tr>
      <w:tr w:rsidR="00CF03A5" w14:paraId="5132B2B0" w14:textId="77777777" w:rsidTr="00CF0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8" w:type="dxa"/>
            <w:vMerge/>
          </w:tcPr>
          <w:p w14:paraId="18BBE898" w14:textId="77777777" w:rsidR="00CF03A5" w:rsidRDefault="00CF03A5">
            <w:pPr>
              <w:pStyle w:val="Compact"/>
            </w:pPr>
          </w:p>
        </w:tc>
        <w:tc>
          <w:tcPr>
            <w:tcW w:w="4820" w:type="dxa"/>
            <w:shd w:val="clear" w:color="auto" w:fill="FFFFFF" w:themeFill="background1"/>
          </w:tcPr>
          <w:p w14:paraId="7BD6BF19" w14:textId="77777777" w:rsidR="00CF03A5" w:rsidRDefault="00CF03A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Collective intelligence, pooling of resources, </w:t>
            </w:r>
            <w:r>
              <w:lastRenderedPageBreak/>
              <w:t>data collection, analysis tasks, serious games, participatory experiments, grassroots activities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3" w:type="dxa"/>
            <w:shd w:val="clear" w:color="auto" w:fill="FFFFFF" w:themeFill="background1"/>
          </w:tcPr>
          <w:p w14:paraId="786E0C62" w14:textId="77777777" w:rsidR="00CF03A5" w:rsidRDefault="00CF03A5">
            <w:pPr>
              <w:pStyle w:val="Compact"/>
            </w:pPr>
            <w:r>
              <w:lastRenderedPageBreak/>
              <w:t xml:space="preserve">These are models of citizen </w:t>
            </w:r>
            <w:r>
              <w:lastRenderedPageBreak/>
              <w:t>science development defining the specific experience of the participation.</w:t>
            </w:r>
          </w:p>
        </w:tc>
        <w:tc>
          <w:tcPr>
            <w:tcW w:w="2295" w:type="dxa"/>
            <w:shd w:val="clear" w:color="auto" w:fill="FFFFFF" w:themeFill="background1"/>
          </w:tcPr>
          <w:p w14:paraId="30DE0A02" w14:textId="03E7F468" w:rsidR="00CF03A5" w:rsidRDefault="00CF03A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03A5">
              <w:lastRenderedPageBreak/>
              <w:t>(Matt, 2015)</w:t>
            </w:r>
          </w:p>
        </w:tc>
      </w:tr>
      <w:tr w:rsidR="00CF03A5" w14:paraId="6393CEA3" w14:textId="77777777" w:rsidTr="00CF03A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8" w:type="dxa"/>
            <w:vMerge/>
          </w:tcPr>
          <w:p w14:paraId="20FDDA1D" w14:textId="77777777" w:rsidR="00CF03A5" w:rsidRDefault="00CF03A5">
            <w:pPr>
              <w:pStyle w:val="Compact"/>
            </w:pPr>
          </w:p>
        </w:tc>
        <w:tc>
          <w:tcPr>
            <w:tcW w:w="4820" w:type="dxa"/>
            <w:shd w:val="clear" w:color="auto" w:fill="FFFFFF" w:themeFill="background1"/>
          </w:tcPr>
          <w:p w14:paraId="45A54BA6" w14:textId="77777777" w:rsidR="00CF03A5" w:rsidRDefault="00CF03A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Crowdsourcing and collective annotation and curation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3" w:type="dxa"/>
            <w:shd w:val="clear" w:color="auto" w:fill="FFFFFF" w:themeFill="background1"/>
          </w:tcPr>
          <w:p w14:paraId="7153F339" w14:textId="77777777" w:rsidR="00CF03A5" w:rsidRDefault="00CF03A5">
            <w:pPr>
              <w:pStyle w:val="Compact"/>
            </w:pPr>
            <w:r>
              <w:t>Its a common practice on citizen science to develop platforms for massively annotate wide corpus with non-experts.</w:t>
            </w:r>
          </w:p>
        </w:tc>
        <w:tc>
          <w:tcPr>
            <w:tcW w:w="2295" w:type="dxa"/>
            <w:shd w:val="clear" w:color="auto" w:fill="FFFFFF" w:themeFill="background1"/>
          </w:tcPr>
          <w:p w14:paraId="3CA6BC55" w14:textId="2229633F" w:rsidR="00CF03A5" w:rsidRDefault="00CF03A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03A5">
              <w:t>(</w:t>
            </w:r>
            <w:proofErr w:type="spellStart"/>
            <w:r w:rsidRPr="00CF03A5">
              <w:t>Ranjgar</w:t>
            </w:r>
            <w:proofErr w:type="spellEnd"/>
            <w:r w:rsidRPr="00CF03A5">
              <w:t xml:space="preserve"> </w:t>
            </w:r>
            <w:r w:rsidRPr="00CF03A5">
              <w:rPr>
                <w:i/>
                <w:iCs/>
              </w:rPr>
              <w:t>et al</w:t>
            </w:r>
            <w:r>
              <w:t>.</w:t>
            </w:r>
            <w:r w:rsidRPr="00CF03A5">
              <w:t>, 2024</w:t>
            </w:r>
            <w:r>
              <w:t xml:space="preserve">; </w:t>
            </w:r>
            <w:r w:rsidRPr="00CF03A5">
              <w:t xml:space="preserve">García-Zarza </w:t>
            </w:r>
            <w:r w:rsidRPr="00CF03A5">
              <w:rPr>
                <w:i/>
                <w:iCs/>
              </w:rPr>
              <w:t>et al</w:t>
            </w:r>
            <w:r w:rsidRPr="00CF03A5">
              <w:t>, 2022)</w:t>
            </w:r>
          </w:p>
        </w:tc>
      </w:tr>
      <w:tr w:rsidR="00CF03A5" w14:paraId="2DC5F9E3" w14:textId="77777777" w:rsidTr="00CF0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8" w:type="dxa"/>
            <w:vMerge/>
          </w:tcPr>
          <w:p w14:paraId="386B212D" w14:textId="77777777" w:rsidR="00CF03A5" w:rsidRDefault="00CF03A5">
            <w:pPr>
              <w:pStyle w:val="Compact"/>
            </w:pPr>
          </w:p>
        </w:tc>
        <w:tc>
          <w:tcPr>
            <w:tcW w:w="4820" w:type="dxa"/>
            <w:shd w:val="clear" w:color="auto" w:fill="FFFFFF" w:themeFill="background1"/>
          </w:tcPr>
          <w:p w14:paraId="00E48CA6" w14:textId="77777777" w:rsidR="00CF03A5" w:rsidRDefault="00CF03A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Others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3" w:type="dxa"/>
            <w:shd w:val="clear" w:color="auto" w:fill="FFFFFF" w:themeFill="background1"/>
          </w:tcPr>
          <w:p w14:paraId="5AF472DA" w14:textId="77777777" w:rsidR="00CF03A5" w:rsidRDefault="00CF03A5">
            <w:pPr>
              <w:pStyle w:val="Compact"/>
            </w:pPr>
            <w:r>
              <w:t>Other tools that can be found as participation comes from a variety of fields with its own tools.</w:t>
            </w:r>
          </w:p>
        </w:tc>
        <w:tc>
          <w:tcPr>
            <w:tcW w:w="2295" w:type="dxa"/>
            <w:shd w:val="clear" w:color="auto" w:fill="FFFFFF" w:themeFill="background1"/>
          </w:tcPr>
          <w:p w14:paraId="76BE3108" w14:textId="77777777" w:rsidR="00CF03A5" w:rsidRPr="00CF03A5" w:rsidRDefault="00CF03A5" w:rsidP="00CF03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03A5">
              <w:t>(Gómez-Ferri, 2014)</w:t>
            </w:r>
          </w:p>
          <w:p w14:paraId="6EE6F806" w14:textId="69410F12" w:rsidR="00CF03A5" w:rsidRDefault="00CF03A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F03A5" w14:paraId="7BBD96B6" w14:textId="77777777" w:rsidTr="00CF03A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8" w:type="dxa"/>
            <w:vMerge w:val="restart"/>
          </w:tcPr>
          <w:p w14:paraId="1F104F1C" w14:textId="77777777" w:rsidR="00CF03A5" w:rsidRDefault="00CF03A5">
            <w:pPr>
              <w:pStyle w:val="Compact"/>
            </w:pPr>
            <w:r>
              <w:t>3. Levels of user participation and engagement</w:t>
            </w:r>
          </w:p>
        </w:tc>
        <w:tc>
          <w:tcPr>
            <w:tcW w:w="4820" w:type="dxa"/>
            <w:shd w:val="clear" w:color="auto" w:fill="FFFFFF" w:themeFill="background1"/>
          </w:tcPr>
          <w:p w14:paraId="4FB7B040" w14:textId="77777777" w:rsidR="00CF03A5" w:rsidRDefault="00CF03A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Consult, include, elaborate, own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3" w:type="dxa"/>
            <w:shd w:val="clear" w:color="auto" w:fill="FFFFFF" w:themeFill="background1"/>
          </w:tcPr>
          <w:p w14:paraId="54F1613D" w14:textId="77777777" w:rsidR="00CF03A5" w:rsidRDefault="00CF03A5">
            <w:pPr>
              <w:pStyle w:val="Compact"/>
            </w:pPr>
            <w:r>
              <w:t>Consulting is the lowest level of engagement and owning the highest.</w:t>
            </w:r>
          </w:p>
        </w:tc>
        <w:tc>
          <w:tcPr>
            <w:tcW w:w="2295" w:type="dxa"/>
            <w:shd w:val="clear" w:color="auto" w:fill="FFFFFF" w:themeFill="background1"/>
          </w:tcPr>
          <w:p w14:paraId="4B2C40C5" w14:textId="2BCE0659" w:rsidR="00CF03A5" w:rsidRDefault="00CF03A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03A5">
              <w:t xml:space="preserve">(Delgado </w:t>
            </w:r>
            <w:r w:rsidRPr="00CF03A5">
              <w:rPr>
                <w:i/>
                <w:iCs/>
              </w:rPr>
              <w:t>et al</w:t>
            </w:r>
            <w:r>
              <w:t>.</w:t>
            </w:r>
            <w:r w:rsidRPr="00CF03A5">
              <w:t>, 2023)</w:t>
            </w:r>
          </w:p>
        </w:tc>
      </w:tr>
      <w:tr w:rsidR="00CF03A5" w14:paraId="1F529724" w14:textId="77777777" w:rsidTr="00CF0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8" w:type="dxa"/>
            <w:vMerge/>
          </w:tcPr>
          <w:p w14:paraId="334BB975" w14:textId="77777777" w:rsidR="00CF03A5" w:rsidRDefault="00CF03A5">
            <w:pPr>
              <w:pStyle w:val="Compact"/>
            </w:pPr>
          </w:p>
        </w:tc>
        <w:tc>
          <w:tcPr>
            <w:tcW w:w="4820" w:type="dxa"/>
            <w:shd w:val="clear" w:color="auto" w:fill="FFFFFF" w:themeFill="background1"/>
          </w:tcPr>
          <w:p w14:paraId="7B168236" w14:textId="77777777" w:rsidR="00CF03A5" w:rsidRDefault="00CF03A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Scientific, inspirational, educational, social, economic, environmental, political community agency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3" w:type="dxa"/>
            <w:shd w:val="clear" w:color="auto" w:fill="FFFFFF" w:themeFill="background1"/>
          </w:tcPr>
          <w:p w14:paraId="298E411D" w14:textId="77777777" w:rsidR="00CF03A5" w:rsidRDefault="00CF03A5">
            <w:pPr>
              <w:pStyle w:val="Compact"/>
            </w:pPr>
            <w:r>
              <w:t>The levels of participation expressed here are impact areas of the knowledge products.</w:t>
            </w:r>
          </w:p>
        </w:tc>
        <w:tc>
          <w:tcPr>
            <w:tcW w:w="2295" w:type="dxa"/>
            <w:shd w:val="clear" w:color="auto" w:fill="FFFFFF" w:themeFill="background1"/>
          </w:tcPr>
          <w:p w14:paraId="5164B3CD" w14:textId="4D04D0E4" w:rsidR="00CF03A5" w:rsidRDefault="00CF03A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03A5">
              <w:t>(Matt, 2015</w:t>
            </w:r>
            <w:r>
              <w:t xml:space="preserve">; </w:t>
            </w:r>
            <w:r w:rsidRPr="00CF03A5">
              <w:t xml:space="preserve">Vohland </w:t>
            </w:r>
            <w:r w:rsidRPr="00CF03A5">
              <w:rPr>
                <w:i/>
                <w:iCs/>
              </w:rPr>
              <w:t>et al</w:t>
            </w:r>
            <w:r>
              <w:t>.</w:t>
            </w:r>
            <w:r w:rsidRPr="00CF03A5">
              <w:t>, 2021)</w:t>
            </w:r>
          </w:p>
        </w:tc>
      </w:tr>
      <w:tr w:rsidR="00CF03A5" w14:paraId="56350FC8" w14:textId="77777777" w:rsidTr="00CF03A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8" w:type="dxa"/>
            <w:vMerge w:val="restart"/>
          </w:tcPr>
          <w:p w14:paraId="3E7D077C" w14:textId="77777777" w:rsidR="00CF03A5" w:rsidRDefault="00CF03A5">
            <w:pPr>
              <w:pStyle w:val="Compact"/>
            </w:pPr>
            <w:r>
              <w:t>4. Inclusion, representational gaps and epistemic justice considerations</w:t>
            </w:r>
          </w:p>
        </w:tc>
        <w:tc>
          <w:tcPr>
            <w:tcW w:w="4820" w:type="dxa"/>
            <w:shd w:val="clear" w:color="auto" w:fill="FFFFFF" w:themeFill="background1"/>
          </w:tcPr>
          <w:p w14:paraId="5D94FDDB" w14:textId="77777777" w:rsidR="00CF03A5" w:rsidRDefault="00CF03A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Epistemic justice, gender perspectives, intersectionalities, censorships, bias recognition and mitigation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3" w:type="dxa"/>
            <w:shd w:val="clear" w:color="auto" w:fill="FFFFFF" w:themeFill="background1"/>
          </w:tcPr>
          <w:p w14:paraId="37DBA449" w14:textId="77777777" w:rsidR="00CF03A5" w:rsidRDefault="00CF03A5">
            <w:pPr>
              <w:pStyle w:val="Compact"/>
            </w:pPr>
            <w:r>
              <w:t>These are complementary conceptual frameworks that will be assessed in in the literature as they are expressed.</w:t>
            </w:r>
          </w:p>
        </w:tc>
        <w:tc>
          <w:tcPr>
            <w:tcW w:w="2295" w:type="dxa"/>
            <w:shd w:val="clear" w:color="auto" w:fill="FFFFFF" w:themeFill="background1"/>
          </w:tcPr>
          <w:p w14:paraId="003A4350" w14:textId="5458A719" w:rsidR="00CF03A5" w:rsidRDefault="00CF03A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03A5">
              <w:t>(Fricker, 2007</w:t>
            </w:r>
            <w:r>
              <w:t xml:space="preserve">; </w:t>
            </w:r>
            <w:r w:rsidRPr="00CF03A5">
              <w:t xml:space="preserve">Haraway, 1991; </w:t>
            </w:r>
            <w:proofErr w:type="spellStart"/>
            <w:r w:rsidRPr="00CF03A5">
              <w:t>Stengers</w:t>
            </w:r>
            <w:proofErr w:type="spellEnd"/>
            <w:r w:rsidRPr="00CF03A5">
              <w:t xml:space="preserve"> and Despret, 2014)</w:t>
            </w:r>
          </w:p>
        </w:tc>
      </w:tr>
      <w:tr w:rsidR="00CF03A5" w14:paraId="5CF62E67" w14:textId="77777777" w:rsidTr="00CF0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8" w:type="dxa"/>
            <w:vMerge/>
          </w:tcPr>
          <w:p w14:paraId="4CAB3C94" w14:textId="77777777" w:rsidR="00CF03A5" w:rsidRDefault="00CF03A5">
            <w:pPr>
              <w:pStyle w:val="Compact"/>
            </w:pPr>
          </w:p>
        </w:tc>
        <w:tc>
          <w:tcPr>
            <w:tcW w:w="4820" w:type="dxa"/>
            <w:shd w:val="clear" w:color="auto" w:fill="FFFFFF" w:themeFill="background1"/>
          </w:tcPr>
          <w:p w14:paraId="603FE895" w14:textId="77777777" w:rsidR="00CF03A5" w:rsidRDefault="00CF03A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Knowledge diversity or power dynamics awareness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3" w:type="dxa"/>
            <w:shd w:val="clear" w:color="auto" w:fill="FFFFFF" w:themeFill="background1"/>
          </w:tcPr>
          <w:p w14:paraId="0ECA8EC6" w14:textId="77777777" w:rsidR="00CF03A5" w:rsidRDefault="00CF03A5">
            <w:pPr>
              <w:pStyle w:val="Compact"/>
            </w:pPr>
            <w:r>
              <w:t>In the literature, scientific knowledge can appear as the only one expressed, although other types need to be considered.</w:t>
            </w:r>
          </w:p>
        </w:tc>
        <w:tc>
          <w:tcPr>
            <w:tcW w:w="2295" w:type="dxa"/>
            <w:shd w:val="clear" w:color="auto" w:fill="FFFFFF" w:themeFill="background1"/>
          </w:tcPr>
          <w:p w14:paraId="0BD3F1F6" w14:textId="7B011F04" w:rsidR="00CF03A5" w:rsidRDefault="00CF03A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03A5">
              <w:t>(Escobar, 2016)</w:t>
            </w:r>
          </w:p>
        </w:tc>
      </w:tr>
      <w:tr w:rsidR="00CF03A5" w14:paraId="4C37F84C" w14:textId="77777777" w:rsidTr="00CF03A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8" w:type="dxa"/>
            <w:vMerge/>
          </w:tcPr>
          <w:p w14:paraId="6B5EFC8F" w14:textId="77777777" w:rsidR="00CF03A5" w:rsidRDefault="00CF03A5">
            <w:pPr>
              <w:pStyle w:val="Compact"/>
            </w:pPr>
          </w:p>
        </w:tc>
        <w:tc>
          <w:tcPr>
            <w:tcW w:w="4820" w:type="dxa"/>
            <w:shd w:val="clear" w:color="auto" w:fill="FFFFFF" w:themeFill="background1"/>
          </w:tcPr>
          <w:p w14:paraId="360BDD4E" w14:textId="77777777" w:rsidR="00CF03A5" w:rsidRDefault="00CF03A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Model “top-down” or “bottom up”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3" w:type="dxa"/>
            <w:shd w:val="clear" w:color="auto" w:fill="FFFFFF" w:themeFill="background1"/>
          </w:tcPr>
          <w:p w14:paraId="0035CDA2" w14:textId="77777777" w:rsidR="00CF03A5" w:rsidRDefault="00CF03A5">
            <w:pPr>
              <w:pStyle w:val="Compact"/>
            </w:pPr>
            <w:r>
              <w:t xml:space="preserve">These models are common </w:t>
            </w:r>
            <w:r>
              <w:lastRenderedPageBreak/>
              <w:t>frameworks for general participatory practices, some use-cases use “bottom up” this form for inclusion.</w:t>
            </w:r>
          </w:p>
        </w:tc>
        <w:tc>
          <w:tcPr>
            <w:tcW w:w="2295" w:type="dxa"/>
            <w:shd w:val="clear" w:color="auto" w:fill="FFFFFF" w:themeFill="background1"/>
          </w:tcPr>
          <w:p w14:paraId="2B1E8097" w14:textId="06EB15D2" w:rsidR="00CF03A5" w:rsidRDefault="00CF03A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03A5">
              <w:lastRenderedPageBreak/>
              <w:t>(Gómez-Ferri, 2014)</w:t>
            </w:r>
          </w:p>
        </w:tc>
      </w:tr>
      <w:tr w:rsidR="00DB38CA" w14:paraId="0C1EEDA3" w14:textId="77777777" w:rsidTr="00CF0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8" w:type="dxa"/>
          </w:tcPr>
          <w:p w14:paraId="1A3D62DD" w14:textId="77777777" w:rsidR="00DB38CA" w:rsidRDefault="00DB38CA">
            <w:pPr>
              <w:pStyle w:val="Compact"/>
            </w:pPr>
          </w:p>
        </w:tc>
        <w:tc>
          <w:tcPr>
            <w:tcW w:w="4820" w:type="dxa"/>
            <w:shd w:val="clear" w:color="auto" w:fill="FFFFFF" w:themeFill="background1"/>
          </w:tcPr>
          <w:p w14:paraId="4006774D" w14:textId="77777777" w:rsidR="00DB38C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Provenance mechanisms, bias checks, and configurable governance models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3" w:type="dxa"/>
            <w:shd w:val="clear" w:color="auto" w:fill="FFFFFF" w:themeFill="background1"/>
          </w:tcPr>
          <w:p w14:paraId="531B9598" w14:textId="77777777" w:rsidR="00DB38CA" w:rsidRDefault="00000000">
            <w:pPr>
              <w:pStyle w:val="Compact"/>
            </w:pPr>
            <w:r>
              <w:t>Found mechanisms that allow Digital library’s neurosymbolic AI systems to be aware of its representational gaps.</w:t>
            </w:r>
          </w:p>
        </w:tc>
        <w:tc>
          <w:tcPr>
            <w:tcW w:w="2295" w:type="dxa"/>
            <w:shd w:val="clear" w:color="auto" w:fill="FFFFFF" w:themeFill="background1"/>
          </w:tcPr>
          <w:p w14:paraId="6446D324" w14:textId="773065BF" w:rsidR="00DB38CA" w:rsidRDefault="00CF03A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03A5">
              <w:t>(Fox and Chandrasekar, 2021</w:t>
            </w:r>
            <w:r>
              <w:t xml:space="preserve">; </w:t>
            </w:r>
            <w:r w:rsidRPr="00CF03A5">
              <w:t>Calvano, 2025)</w:t>
            </w:r>
          </w:p>
        </w:tc>
      </w:tr>
      <w:bookmarkEnd w:id="0"/>
    </w:tbl>
    <w:p w14:paraId="6F559DA6" w14:textId="77777777" w:rsidR="006B1ED8" w:rsidRDefault="006B1ED8" w:rsidP="00CF03A5">
      <w:pPr>
        <w:pStyle w:val="Heading1"/>
      </w:pPr>
    </w:p>
    <w:sectPr w:rsidR="006B1ED8" w:rsidSect="00CF03A5">
      <w:footnotePr>
        <w:numRestart w:val="eachSect"/>
      </w:footnotePr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27C17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6607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8CA"/>
    <w:rsid w:val="003129F6"/>
    <w:rsid w:val="003C3AA1"/>
    <w:rsid w:val="006B1ED8"/>
    <w:rsid w:val="008610DB"/>
    <w:rsid w:val="00CF03A5"/>
    <w:rsid w:val="00DB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54772C"/>
  <w15:docId w15:val="{86C20CFD-14DF-274C-A5BD-17DF6239B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1">
    <w:name w:val="Plain Table 1"/>
    <w:basedOn w:val="TableNormal"/>
    <w:rsid w:val="00CF03A5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6C974A3-2875-A045-AA62-E20FC68E4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420</Words>
  <Characters>2960</Characters>
  <Application>Microsoft Office Word</Application>
  <DocSecurity>0</DocSecurity>
  <Lines>105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ELENA GÓMEZ RICO</dc:creator>
  <cp:keywords/>
  <cp:lastModifiedBy>ELENA GÓMEZ RICO</cp:lastModifiedBy>
  <cp:revision>3</cp:revision>
  <dcterms:created xsi:type="dcterms:W3CDTF">2025-12-19T23:16:00Z</dcterms:created>
  <dcterms:modified xsi:type="dcterms:W3CDTF">2025-12-19T23:16:00Z</dcterms:modified>
</cp:coreProperties>
</file>