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Para propuesta de poster en </w:t>
      </w:r>
      <w:hyperlink r:id="rId6">
        <w:r w:rsidDel="00000000" w:rsidR="00000000" w:rsidRPr="00000000">
          <w:rPr>
            <w:color w:val="1155cc"/>
            <w:u w:val="single"/>
            <w:rtl w:val="0"/>
          </w:rPr>
          <w:t xml:space="preserve">https://www.ecsa2026.ngo/</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Title: Mapping Citizen Science in Academia: Bibliometric Co-occurrence Analysis Across Digital Humanities and GLAM (2014–2025)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Abstract (300 ch)</w:t>
      </w:r>
    </w:p>
    <w:p w:rsidR="00000000" w:rsidDel="00000000" w:rsidP="00000000" w:rsidRDefault="00000000" w:rsidRPr="00000000" w14:paraId="00000007">
      <w:pPr>
        <w:rPr/>
      </w:pPr>
      <w:r w:rsidDel="00000000" w:rsidR="00000000" w:rsidRPr="00000000">
        <w:rPr>
          <w:rtl w:val="0"/>
        </w:rPr>
        <w:t xml:space="preserve">Bibliometric mapping reveals citizen science thematic structures in academic literature, addressing search limitations through co-occurrence analysis of 3,250 records across digital humanities and GLAM sectors.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Abstract (250 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Academic literature searches related with citizen science and participatory approaches, face challenges due to heterogeneous terminologies, incompatible disciplinary taxonomies, and inconsistent keyword usage across databases. Traditional searches in Scopus and Web of Science yield incomplete or overly broad results despite conceptually sound queries.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study employs bibliometric scientific mapping (using SciMAT) based on term co-occurrence patterns to reveal latent thematic structures and overcome these methodological limitations. This focus on citizen science and co-creation aims to contribute to  future literature systematic searches o the subject while mantaingning the richness and multidisciplinarity of the fields.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methodology built a representative sample using strategic search equations with focused, proximity, and broad operators (W/n, NEAR/n, wild cards *, field-specific labels) for metadata extraction from Scopus (2,657 records) and Web of Science (613 records) from 2014–2025, yielding 3,250 unique records after deduplication. After systematic refinement, thematic network generation (14,151 nodes and 231,319 edges), divided into two five-year periods (2014–2019 and 2020–2025), was built based on bibliometrics of 45,650 retrieved and normalized keyword co-occurrences and clustering algorithms, ensuring thematic coverage while minimizing bias through sampled keyword inclusion. Results focused on thematic positioning of citizen science topics, co-occurrence patterns within the dataset.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better understanding of academic production allows literature reviews to analyse the complexity of promoting inclusive and equitable public spheres. They can also address representational gaps in data usage and information retrieval, particularly concerning women, intersectionalities, and underrepresented groups. Meaningful digital solutions emerge in appropriate social contexts.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color w:val="666666"/>
        <w:sz w:val="24"/>
        <w:szCs w:val="24"/>
        <w:lang w:val="es"/>
      </w:rPr>
    </w:rPrDefault>
    <w:pPrDefault>
      <w:pPr>
        <w:spacing w:line="276" w:lineRule="auto"/>
        <w:ind w:left="425.19685039370086"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color w:val="3d85c6"/>
    </w:rPr>
  </w:style>
  <w:style w:type="paragraph" w:styleId="Heading2">
    <w:name w:val="heading 2"/>
    <w:basedOn w:val="Normal"/>
    <w:next w:val="Normal"/>
    <w:pPr>
      <w:keepNext w:val="1"/>
      <w:keepLines w:val="1"/>
    </w:pPr>
    <w:rPr>
      <w:i w:val="1"/>
      <w:color w:val="3d85c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csa2026.n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