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39E0D981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Mg. </w:t>
      </w:r>
      <w:r w:rsidR="00EC1619">
        <w:rPr>
          <w:rFonts w:cs="Arial"/>
          <w:color w:val="000000" w:themeColor="text1"/>
        </w:rPr>
        <w:t xml:space="preserve">Renato </w:t>
      </w:r>
      <w:proofErr w:type="spellStart"/>
      <w:r w:rsidR="00EC1619">
        <w:rPr>
          <w:rFonts w:cs="Arial"/>
          <w:color w:val="000000" w:themeColor="text1"/>
        </w:rPr>
        <w:t>Toasa</w:t>
      </w:r>
      <w:proofErr w:type="spellEnd"/>
      <w:r w:rsidRPr="00513FD2">
        <w:rPr>
          <w:rFonts w:cs="Arial"/>
          <w:color w:val="000000" w:themeColor="text1"/>
        </w:rPr>
        <w:t>.</w:t>
      </w:r>
    </w:p>
    <w:p w14:paraId="2F29BDB9" w14:textId="14D52FF2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EC1619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Antonio Ayala Lituma</w:t>
      </w:r>
    </w:p>
    <w:p w14:paraId="6F603826" w14:textId="2CAFA49B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 xml:space="preserve">Séptimo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 xml:space="preserve">Deber </w:t>
      </w:r>
      <w:r w:rsidR="00EC1619">
        <w:rPr>
          <w:rFonts w:asciiTheme="minorHAnsi" w:hAnsiTheme="minorHAnsi" w:cs="Arial"/>
          <w:bCs/>
          <w:color w:val="000000" w:themeColor="text1"/>
          <w:szCs w:val="22"/>
        </w:rPr>
        <w:t>1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>-S</w:t>
      </w:r>
      <w:r w:rsidR="00EC1619">
        <w:rPr>
          <w:rFonts w:asciiTheme="minorHAnsi" w:hAnsiTheme="minorHAnsi" w:cs="Arial"/>
          <w:bCs/>
          <w:color w:val="000000" w:themeColor="text1"/>
          <w:szCs w:val="22"/>
        </w:rPr>
        <w:t>3</w:t>
      </w:r>
    </w:p>
    <w:p w14:paraId="5956F0C1" w14:textId="4BEF72E0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EC1619">
        <w:rPr>
          <w:rFonts w:asciiTheme="minorHAnsi" w:hAnsiTheme="minorHAnsi" w:cs="Arial"/>
          <w:color w:val="000000" w:themeColor="text1"/>
          <w:sz w:val="22"/>
          <w:szCs w:val="22"/>
        </w:rPr>
        <w:t>Análisis de Procesos Informáticos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14613D09" w14:textId="3C16E34D" w:rsidR="00AA37EE" w:rsidRDefault="00AA37EE" w:rsidP="00AA37EE">
      <w:pPr>
        <w:jc w:val="center"/>
        <w:rPr>
          <w:rFonts w:ascii="Book Antiqua" w:hAnsi="Book Antiqua"/>
          <w:b/>
          <w:noProof/>
          <w:color w:val="2E479C"/>
          <w:lang w:val="es-EC" w:eastAsia="es-EC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551AD857" w14:textId="378EF0D5" w:rsidR="00EC1619" w:rsidRPr="00FC13F6" w:rsidRDefault="00EC1619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C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uadro comparativo (Semejanzas - Diferencias) entre ISO 20000 e ITIL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38D2520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D7FFD4F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EC1619" w14:paraId="43D66BBB" w14:textId="77777777" w:rsidTr="00EC1619">
        <w:tc>
          <w:tcPr>
            <w:tcW w:w="562" w:type="dxa"/>
          </w:tcPr>
          <w:p w14:paraId="0E24E6B2" w14:textId="06E28846" w:rsidR="00EC1619" w:rsidRDefault="00D85C83" w:rsidP="00AA37E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No.</w:t>
            </w:r>
          </w:p>
        </w:tc>
        <w:tc>
          <w:tcPr>
            <w:tcW w:w="7932" w:type="dxa"/>
          </w:tcPr>
          <w:p w14:paraId="38B2F10E" w14:textId="22414EFC" w:rsidR="00EC1619" w:rsidRDefault="00EC1619" w:rsidP="00AA37E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Semejanzas</w:t>
            </w:r>
          </w:p>
        </w:tc>
      </w:tr>
      <w:tr w:rsidR="00EC1619" w14:paraId="59AC3FA3" w14:textId="77777777" w:rsidTr="00EC1619">
        <w:tc>
          <w:tcPr>
            <w:tcW w:w="562" w:type="dxa"/>
          </w:tcPr>
          <w:p w14:paraId="13EFCB97" w14:textId="3B92A56B" w:rsidR="00EC1619" w:rsidRDefault="00D85C83" w:rsidP="00AA37E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932" w:type="dxa"/>
          </w:tcPr>
          <w:p w14:paraId="71620D7C" w14:textId="53DD8685" w:rsidR="00D85C83" w:rsidRPr="00D85C83" w:rsidRDefault="00D85C83" w:rsidP="00AA37EE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D85C83">
              <w:rPr>
                <w:rFonts w:asciiTheme="minorHAnsi" w:hAnsiTheme="minorHAnsi" w:cs="Arial"/>
                <w:bCs/>
                <w:sz w:val="22"/>
                <w:szCs w:val="22"/>
              </w:rPr>
              <w:t>Tanto como ISO 20000 e ITIL están enfocadas a</w:t>
            </w:r>
            <w:r w:rsidR="00603DA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la gestión de</w:t>
            </w:r>
            <w:r w:rsidRPr="00D85C83">
              <w:rPr>
                <w:rFonts w:asciiTheme="minorHAnsi" w:hAnsiTheme="minorHAnsi" w:cs="Arial"/>
                <w:bCs/>
                <w:sz w:val="22"/>
                <w:szCs w:val="22"/>
              </w:rPr>
              <w:t xml:space="preserve"> servicio </w:t>
            </w:r>
            <w:r w:rsidR="005F1283">
              <w:rPr>
                <w:rFonts w:asciiTheme="minorHAnsi" w:hAnsiTheme="minorHAnsi" w:cs="Arial"/>
                <w:bCs/>
                <w:sz w:val="22"/>
                <w:szCs w:val="22"/>
              </w:rPr>
              <w:t xml:space="preserve">en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cada una de ellas tienen sus enfoques a la tecnología y sus procesos.</w:t>
            </w:r>
          </w:p>
        </w:tc>
      </w:tr>
      <w:tr w:rsidR="00EC1619" w14:paraId="2F4BAB50" w14:textId="77777777" w:rsidTr="00EC1619">
        <w:tc>
          <w:tcPr>
            <w:tcW w:w="562" w:type="dxa"/>
          </w:tcPr>
          <w:p w14:paraId="40123824" w14:textId="03E0D85C" w:rsidR="00EC1619" w:rsidRDefault="00D85C83" w:rsidP="00AA37E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  <w:tc>
          <w:tcPr>
            <w:tcW w:w="7932" w:type="dxa"/>
          </w:tcPr>
          <w:p w14:paraId="16009473" w14:textId="1E122E1E" w:rsidR="00EC1619" w:rsidRPr="005F1283" w:rsidRDefault="005F1283" w:rsidP="00AA37EE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5F1283">
              <w:rPr>
                <w:rFonts w:asciiTheme="minorHAnsi" w:hAnsiTheme="minorHAnsi" w:cs="Arial"/>
                <w:bCs/>
                <w:sz w:val="22"/>
                <w:szCs w:val="22"/>
              </w:rPr>
              <w:t xml:space="preserve">También las ISO 20000 e ITIL se puede decir que son semejantes ya que cada una de ellas son certificaciones o avales que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demuestran un valor de distinción a empresas y/o personas</w:t>
            </w:r>
          </w:p>
        </w:tc>
      </w:tr>
      <w:tr w:rsidR="00EC1619" w14:paraId="53AC4E60" w14:textId="77777777" w:rsidTr="00EC1619">
        <w:tc>
          <w:tcPr>
            <w:tcW w:w="562" w:type="dxa"/>
          </w:tcPr>
          <w:p w14:paraId="04F7E3FF" w14:textId="63D8F6C5" w:rsidR="00EC1619" w:rsidRDefault="00D85C83" w:rsidP="00AA37E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3</w:t>
            </w:r>
          </w:p>
        </w:tc>
        <w:tc>
          <w:tcPr>
            <w:tcW w:w="7932" w:type="dxa"/>
          </w:tcPr>
          <w:p w14:paraId="34F26F80" w14:textId="247B955D" w:rsidR="00EC1619" w:rsidRPr="00603DA1" w:rsidRDefault="00603DA1" w:rsidP="00AA37EE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03DA1">
              <w:rPr>
                <w:rFonts w:asciiTheme="minorHAnsi" w:hAnsiTheme="minorHAnsi" w:cs="Arial"/>
                <w:bCs/>
                <w:sz w:val="22"/>
                <w:szCs w:val="22"/>
              </w:rPr>
              <w:t>Son avales internacionales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respectivamente</w:t>
            </w:r>
            <w:r w:rsidR="00BC3670">
              <w:rPr>
                <w:rFonts w:asciiTheme="minorHAnsi" w:hAnsiTheme="minorHAnsi" w:cs="Arial"/>
                <w:bCs/>
                <w:sz w:val="22"/>
                <w:szCs w:val="22"/>
              </w:rPr>
              <w:t xml:space="preserve"> con a la opción para certificar a personas</w:t>
            </w:r>
          </w:p>
        </w:tc>
      </w:tr>
      <w:tr w:rsidR="00EC1619" w14:paraId="4209C939" w14:textId="77777777" w:rsidTr="00EC1619">
        <w:tc>
          <w:tcPr>
            <w:tcW w:w="562" w:type="dxa"/>
          </w:tcPr>
          <w:p w14:paraId="1447A0A7" w14:textId="157FC9FF" w:rsidR="00EC1619" w:rsidRDefault="00D85C83" w:rsidP="00AA37E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4</w:t>
            </w:r>
          </w:p>
        </w:tc>
        <w:tc>
          <w:tcPr>
            <w:tcW w:w="7932" w:type="dxa"/>
          </w:tcPr>
          <w:p w14:paraId="1AEAF01A" w14:textId="65E6E6FF" w:rsidR="00EC1619" w:rsidRPr="002830B0" w:rsidRDefault="00BC3670" w:rsidP="00AA37EE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Tienen pasos y orden de flujo de fundamentos en cada concepto de sus estándares.</w:t>
            </w:r>
          </w:p>
        </w:tc>
      </w:tr>
      <w:tr w:rsidR="00D85C83" w14:paraId="3B829692" w14:textId="77777777" w:rsidTr="00EC1619">
        <w:tc>
          <w:tcPr>
            <w:tcW w:w="562" w:type="dxa"/>
          </w:tcPr>
          <w:p w14:paraId="3471D0B2" w14:textId="1BD7215A" w:rsidR="00D85C83" w:rsidRDefault="00D85C83" w:rsidP="00AA37E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</w:tc>
        <w:tc>
          <w:tcPr>
            <w:tcW w:w="7932" w:type="dxa"/>
          </w:tcPr>
          <w:p w14:paraId="0D601E99" w14:textId="32D986CE" w:rsidR="00D85C83" w:rsidRPr="00BC3670" w:rsidRDefault="00BC3670" w:rsidP="00AA37EE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Tanto la ISO 20000 e ITIL han </w:t>
            </w: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evolucionado </w:t>
            </w:r>
            <w:r w:rsidRPr="00BC3670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y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han actualizado sus procesos. </w:t>
            </w:r>
          </w:p>
        </w:tc>
      </w:tr>
    </w:tbl>
    <w:p w14:paraId="5CF51607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6C1B7BB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EC1619" w14:paraId="53233BA4" w14:textId="77777777" w:rsidTr="00EC1619">
        <w:tc>
          <w:tcPr>
            <w:tcW w:w="562" w:type="dxa"/>
          </w:tcPr>
          <w:p w14:paraId="316D104D" w14:textId="2DE0C8AF" w:rsidR="00EC1619" w:rsidRPr="00D85C83" w:rsidRDefault="00D85C83" w:rsidP="004D258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85C8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932" w:type="dxa"/>
          </w:tcPr>
          <w:p w14:paraId="40172640" w14:textId="05E3BFAE" w:rsidR="00EC1619" w:rsidRPr="00EC1619" w:rsidRDefault="00EC1619" w:rsidP="004D258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EC161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Diferencias</w:t>
            </w:r>
          </w:p>
        </w:tc>
      </w:tr>
      <w:tr w:rsidR="00EC1619" w14:paraId="7B6605B8" w14:textId="77777777" w:rsidTr="00EC1619">
        <w:tc>
          <w:tcPr>
            <w:tcW w:w="562" w:type="dxa"/>
          </w:tcPr>
          <w:p w14:paraId="09B3ECFB" w14:textId="237FB5B9" w:rsidR="00EC1619" w:rsidRPr="00D85C83" w:rsidRDefault="00D85C83" w:rsidP="004D258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85C8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932" w:type="dxa"/>
          </w:tcPr>
          <w:p w14:paraId="569709F6" w14:textId="4B22ED9B" w:rsidR="00EC1619" w:rsidRDefault="00D85C83" w:rsidP="004D258E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Mientras que la ISO 20000 </w:t>
            </w:r>
            <w:r w:rsidR="000558E9">
              <w:rPr>
                <w:rFonts w:asciiTheme="minorHAnsi" w:hAnsiTheme="minorHAnsi" w:cs="Arial"/>
                <w:sz w:val="22"/>
                <w:szCs w:val="22"/>
              </w:rPr>
              <w:t>realiza procesos de auditoria para certificar una empresa se diferencia del ITIL quienes atienden para realizar el proceso de acompañamiento para implementar</w:t>
            </w:r>
            <w:r w:rsidR="005F1283">
              <w:rPr>
                <w:rFonts w:asciiTheme="minorHAnsi" w:hAnsiTheme="minorHAnsi" w:cs="Arial"/>
                <w:sz w:val="22"/>
                <w:szCs w:val="22"/>
              </w:rPr>
              <w:t xml:space="preserve"> o diseñar</w:t>
            </w:r>
            <w:r w:rsidR="000558E9">
              <w:rPr>
                <w:rFonts w:asciiTheme="minorHAnsi" w:hAnsiTheme="minorHAnsi" w:cs="Arial"/>
                <w:sz w:val="22"/>
                <w:szCs w:val="22"/>
              </w:rPr>
              <w:t xml:space="preserve"> sus procesos.  </w:t>
            </w:r>
          </w:p>
        </w:tc>
      </w:tr>
      <w:tr w:rsidR="00EC1619" w14:paraId="6AC23A41" w14:textId="77777777" w:rsidTr="00EC1619">
        <w:tc>
          <w:tcPr>
            <w:tcW w:w="562" w:type="dxa"/>
          </w:tcPr>
          <w:p w14:paraId="13F65E81" w14:textId="756B2D01" w:rsidR="00EC1619" w:rsidRPr="00D85C83" w:rsidRDefault="00D85C83" w:rsidP="004D258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85C8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932" w:type="dxa"/>
          </w:tcPr>
          <w:p w14:paraId="6D943BAC" w14:textId="65877215" w:rsidR="00EC1619" w:rsidRDefault="000558E9" w:rsidP="004D258E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Otra Diferencia notoria es que la ISO 2000 esta enfocada a la parte administrativa mientras que ITIL se basa en la gestión operativo</w:t>
            </w:r>
          </w:p>
        </w:tc>
      </w:tr>
      <w:tr w:rsidR="00EC1619" w14:paraId="6F28E467" w14:textId="77777777" w:rsidTr="00EC1619">
        <w:tc>
          <w:tcPr>
            <w:tcW w:w="562" w:type="dxa"/>
          </w:tcPr>
          <w:p w14:paraId="3841CAB9" w14:textId="2BAA8569" w:rsidR="00EC1619" w:rsidRPr="00D85C83" w:rsidRDefault="00D85C83" w:rsidP="004D258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85C8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932" w:type="dxa"/>
          </w:tcPr>
          <w:p w14:paraId="4F0ADF64" w14:textId="6D8557C2" w:rsidR="00EC1619" w:rsidRDefault="002830B0" w:rsidP="004D258E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 las empresas tienen la opción de certificarse en ISO 20000 no tiene la obligación en ITIL al personal</w:t>
            </w:r>
          </w:p>
        </w:tc>
      </w:tr>
      <w:tr w:rsidR="00EC1619" w14:paraId="5CCB0FDA" w14:textId="77777777" w:rsidTr="00EC1619">
        <w:tc>
          <w:tcPr>
            <w:tcW w:w="562" w:type="dxa"/>
          </w:tcPr>
          <w:p w14:paraId="0ECF44E6" w14:textId="5FAE07C5" w:rsidR="00EC1619" w:rsidRPr="00D85C83" w:rsidRDefault="00D85C83" w:rsidP="004D258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85C8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932" w:type="dxa"/>
          </w:tcPr>
          <w:p w14:paraId="4092DA3C" w14:textId="5F7C8810" w:rsidR="00EC1619" w:rsidRDefault="002830B0" w:rsidP="004D258E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Las Certificaciones ITIL</w:t>
            </w:r>
            <w:r w:rsidR="00F3643F">
              <w:rPr>
                <w:rFonts w:asciiTheme="minorHAnsi" w:hAnsiTheme="minorHAnsi" w:cs="Arial"/>
                <w:sz w:val="22"/>
                <w:szCs w:val="22"/>
              </w:rPr>
              <w:t xml:space="preserve"> no está sujeta a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empresas mientras que la ISO 20000 si</w:t>
            </w:r>
            <w:r w:rsidR="00F3643F">
              <w:rPr>
                <w:rFonts w:asciiTheme="minorHAnsi" w:hAnsiTheme="minorHAnsi" w:cs="Arial"/>
                <w:sz w:val="22"/>
                <w:szCs w:val="22"/>
              </w:rPr>
              <w:t xml:space="preserve"> aplica</w:t>
            </w:r>
          </w:p>
        </w:tc>
      </w:tr>
      <w:tr w:rsidR="00D85C83" w14:paraId="122D1C5D" w14:textId="77777777" w:rsidTr="00EC1619">
        <w:tc>
          <w:tcPr>
            <w:tcW w:w="562" w:type="dxa"/>
          </w:tcPr>
          <w:p w14:paraId="3AC7BA10" w14:textId="326CE95C" w:rsidR="00D85C83" w:rsidRPr="00D85C83" w:rsidRDefault="00D85C83" w:rsidP="004D258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85C8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7932" w:type="dxa"/>
          </w:tcPr>
          <w:p w14:paraId="1B39C451" w14:textId="7F006856" w:rsidR="00D85C83" w:rsidRDefault="002830B0" w:rsidP="004D258E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La ISO 20000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esta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basando en los fundamentos del ITIL</w:t>
            </w:r>
          </w:p>
        </w:tc>
      </w:tr>
    </w:tbl>
    <w:p w14:paraId="357C4DAA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CBC34B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8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EDDA0" w14:textId="77777777" w:rsidR="00F042CE" w:rsidRDefault="00F042CE" w:rsidP="000F1717">
      <w:r>
        <w:separator/>
      </w:r>
    </w:p>
  </w:endnote>
  <w:endnote w:type="continuationSeparator" w:id="0">
    <w:p w14:paraId="0EC38221" w14:textId="77777777" w:rsidR="00F042CE" w:rsidRDefault="00F042CE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FFD5A" w14:textId="77777777" w:rsidR="00F042CE" w:rsidRDefault="00F042CE" w:rsidP="000F1717">
      <w:r>
        <w:separator/>
      </w:r>
    </w:p>
  </w:footnote>
  <w:footnote w:type="continuationSeparator" w:id="0">
    <w:p w14:paraId="776D27A2" w14:textId="77777777" w:rsidR="00F042CE" w:rsidRDefault="00F042CE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8E9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830B0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5F1283"/>
    <w:rsid w:val="00603DA1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216A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C3670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85C83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1619"/>
    <w:rsid w:val="00EC5862"/>
    <w:rsid w:val="00ED08BE"/>
    <w:rsid w:val="00F042CE"/>
    <w:rsid w:val="00F07B3A"/>
    <w:rsid w:val="00F16E44"/>
    <w:rsid w:val="00F17E9B"/>
    <w:rsid w:val="00F20985"/>
    <w:rsid w:val="00F2224A"/>
    <w:rsid w:val="00F27895"/>
    <w:rsid w:val="00F327AF"/>
    <w:rsid w:val="00F3643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C1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7</cp:revision>
  <dcterms:created xsi:type="dcterms:W3CDTF">2020-04-05T20:04:00Z</dcterms:created>
  <dcterms:modified xsi:type="dcterms:W3CDTF">2021-02-24T01:44:00Z</dcterms:modified>
</cp:coreProperties>
</file>