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39E0D981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EC1619">
        <w:rPr>
          <w:rFonts w:cs="Arial"/>
          <w:color w:val="000000" w:themeColor="text1"/>
        </w:rPr>
        <w:t>Renato Toasa</w:t>
      </w:r>
      <w:r w:rsidRPr="00513FD2">
        <w:rPr>
          <w:rFonts w:cs="Arial"/>
          <w:color w:val="000000" w:themeColor="text1"/>
        </w:rPr>
        <w:t>.</w:t>
      </w:r>
    </w:p>
    <w:p w14:paraId="2F29BDB9" w14:textId="14D52FF2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EC1619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0F88B97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1109A0">
        <w:rPr>
          <w:rFonts w:asciiTheme="minorHAnsi" w:hAnsiTheme="minorHAnsi" w:cs="Arial"/>
          <w:bCs/>
          <w:color w:val="000000" w:themeColor="text1"/>
          <w:szCs w:val="22"/>
        </w:rPr>
        <w:t>Tarea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</w:t>
      </w:r>
      <w:r w:rsidR="00EC1619">
        <w:rPr>
          <w:rFonts w:asciiTheme="minorHAnsi" w:hAnsiTheme="minorHAnsi" w:cs="Arial"/>
          <w:bCs/>
          <w:color w:val="000000" w:themeColor="text1"/>
          <w:szCs w:val="22"/>
        </w:rPr>
        <w:t>1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</w:t>
      </w:r>
      <w:r w:rsidR="00EC1619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4BEF72E0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EC1619">
        <w:rPr>
          <w:rFonts w:asciiTheme="minorHAnsi" w:hAnsiTheme="minorHAnsi" w:cs="Arial"/>
          <w:color w:val="000000" w:themeColor="text1"/>
          <w:sz w:val="22"/>
          <w:szCs w:val="22"/>
        </w:rPr>
        <w:t>Análisis de Procesos Informáticos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3C16E34D" w:rsidR="00AA37EE" w:rsidRDefault="00AA37EE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F4990D0" w14:textId="77777777" w:rsidR="001109A0" w:rsidRPr="003A3B0C" w:rsidRDefault="001109A0" w:rsidP="001109A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sz w:val="22"/>
          <w:szCs w:val="22"/>
        </w:rPr>
      </w:pPr>
      <w:r w:rsidRPr="003A3B0C">
        <w:rPr>
          <w:rFonts w:ascii="Arial" w:hAnsi="Arial" w:cs="Arial"/>
          <w:sz w:val="22"/>
          <w:szCs w:val="22"/>
        </w:rPr>
        <w:t>Buscar alguna empresa en Ecuador que tenga la certificación ISO 20000.</w:t>
      </w:r>
    </w:p>
    <w:p w14:paraId="44456B95" w14:textId="77777777" w:rsidR="001109A0" w:rsidRPr="003A3B0C" w:rsidRDefault="001109A0" w:rsidP="001109A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sz w:val="22"/>
          <w:szCs w:val="22"/>
        </w:rPr>
      </w:pPr>
      <w:r w:rsidRPr="003A3B0C">
        <w:rPr>
          <w:rFonts w:ascii="Arial" w:hAnsi="Arial" w:cs="Arial"/>
          <w:sz w:val="22"/>
          <w:szCs w:val="22"/>
        </w:rPr>
        <w:t>Describir el funcionamiento y mejoras obtenidas.</w:t>
      </w: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3A2B2F6" w14:textId="67CDEF27" w:rsidR="00FC13F6" w:rsidRPr="00170C97" w:rsidRDefault="003A3B0C" w:rsidP="00170C97">
      <w:pPr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TELEFONICA ECUADOR – MOVISTAR (OTELCEL, S.A.)</w:t>
      </w:r>
    </w:p>
    <w:p w14:paraId="514CD2C3" w14:textId="3E7185AC" w:rsidR="00170C97" w:rsidRDefault="00170C97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86A920" w14:textId="63950A39" w:rsidR="00037BE5" w:rsidRPr="00037BE5" w:rsidRDefault="00037BE5" w:rsidP="00037BE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punto de Vista </w:t>
      </w:r>
      <w:r w:rsidRPr="00037BE5">
        <w:rPr>
          <w:rFonts w:asciiTheme="minorHAnsi" w:hAnsiTheme="minorHAnsi" w:cstheme="minorHAnsi"/>
          <w:sz w:val="22"/>
          <w:szCs w:val="22"/>
        </w:rPr>
        <w:t xml:space="preserve">Telefónica considera su negocio, clientes y servicios, como activos de importancia fundamental para su operativa diaria. En esta línea, Telefónica considera clave el establecimiento de una efectiva gestión de servicios basada en el estándar internacional UNE- ISO 20000:2018. </w:t>
      </w:r>
    </w:p>
    <w:p w14:paraId="7C130C8F" w14:textId="77777777" w:rsidR="00037BE5" w:rsidRPr="00037BE5" w:rsidRDefault="00037BE5" w:rsidP="00037BE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1D5C549" w14:textId="5BF5AE8B" w:rsidR="00037BE5" w:rsidRPr="00037BE5" w:rsidRDefault="00037BE5" w:rsidP="00037BE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Como</w:t>
      </w:r>
      <w:r w:rsidRPr="00037BE5">
        <w:rPr>
          <w:rFonts w:asciiTheme="minorHAnsi" w:hAnsiTheme="minorHAnsi" w:cstheme="minorHAnsi"/>
          <w:sz w:val="22"/>
          <w:szCs w:val="22"/>
        </w:rPr>
        <w:t xml:space="preserve"> descri</w:t>
      </w:r>
      <w:r>
        <w:rPr>
          <w:rFonts w:asciiTheme="minorHAnsi" w:hAnsiTheme="minorHAnsi" w:cstheme="minorHAnsi"/>
          <w:sz w:val="22"/>
          <w:szCs w:val="22"/>
        </w:rPr>
        <w:t>pción</w:t>
      </w:r>
      <w:r w:rsidRPr="00037BE5">
        <w:rPr>
          <w:rFonts w:asciiTheme="minorHAnsi" w:hAnsiTheme="minorHAnsi" w:cstheme="minorHAnsi"/>
          <w:sz w:val="22"/>
          <w:szCs w:val="22"/>
        </w:rPr>
        <w:t xml:space="preserve"> la política de Gestión de Servicios de Telefónica, así como el establecimiento en el mismo de las directrices para garantizar una adecuada la gestión del servicio contratado, aportando valor a los clientes. </w:t>
      </w:r>
    </w:p>
    <w:p w14:paraId="3F5C4095" w14:textId="77777777" w:rsidR="00037BE5" w:rsidRDefault="00037BE5" w:rsidP="00037BE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FE3466" w14:textId="06CE3B71" w:rsidR="00037BE5" w:rsidRDefault="003F580E" w:rsidP="00037BE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Las políticas y a</w:t>
      </w:r>
      <w:r w:rsidR="00037BE5" w:rsidRPr="00037BE5">
        <w:rPr>
          <w:rFonts w:asciiTheme="minorHAnsi" w:hAnsiTheme="minorHAnsi" w:cstheme="minorHAnsi"/>
          <w:sz w:val="22"/>
          <w:szCs w:val="22"/>
        </w:rPr>
        <w:t xml:space="preserve">plicación a todos aquellos trabajadores, colaboradores, clientes, proveedores y otras partes interesadas que de manera directa o indirecta puedan afectar o estén involucrados en la prestación de productos y/o servicios de la Organización a sus clientes. </w:t>
      </w:r>
    </w:p>
    <w:p w14:paraId="0DEDF506" w14:textId="77777777" w:rsidR="003F580E" w:rsidRPr="00037BE5" w:rsidRDefault="003F580E" w:rsidP="00037BE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79321A" w14:textId="6287AAB5" w:rsidR="003A3B0C" w:rsidRDefault="00037BE5" w:rsidP="00037BE5">
      <w:pPr>
        <w:jc w:val="both"/>
        <w:rPr>
          <w:rFonts w:asciiTheme="minorHAnsi" w:hAnsiTheme="minorHAnsi" w:cstheme="minorHAnsi"/>
          <w:sz w:val="22"/>
          <w:szCs w:val="22"/>
        </w:rPr>
      </w:pPr>
      <w:r w:rsidRPr="00037BE5">
        <w:rPr>
          <w:rFonts w:asciiTheme="minorHAnsi" w:hAnsiTheme="minorHAnsi" w:cstheme="minorHAnsi"/>
          <w:sz w:val="22"/>
          <w:szCs w:val="22"/>
        </w:rPr>
        <w:t xml:space="preserve">Las disposiciones </w:t>
      </w:r>
      <w:r w:rsidR="003F580E">
        <w:rPr>
          <w:rFonts w:asciiTheme="minorHAnsi" w:hAnsiTheme="minorHAnsi" w:cstheme="minorHAnsi"/>
          <w:sz w:val="22"/>
          <w:szCs w:val="22"/>
        </w:rPr>
        <w:t xml:space="preserve">que se llevaron a cabo fueron </w:t>
      </w:r>
      <w:r w:rsidRPr="00037BE5">
        <w:rPr>
          <w:rFonts w:asciiTheme="minorHAnsi" w:hAnsiTheme="minorHAnsi" w:cstheme="minorHAnsi"/>
          <w:sz w:val="22"/>
          <w:szCs w:val="22"/>
        </w:rPr>
        <w:t>interpret</w:t>
      </w:r>
      <w:r w:rsidR="003F580E">
        <w:rPr>
          <w:rFonts w:asciiTheme="minorHAnsi" w:hAnsiTheme="minorHAnsi" w:cstheme="minorHAnsi"/>
          <w:sz w:val="22"/>
          <w:szCs w:val="22"/>
        </w:rPr>
        <w:t>adas</w:t>
      </w:r>
      <w:r w:rsidRPr="00037BE5">
        <w:rPr>
          <w:rFonts w:asciiTheme="minorHAnsi" w:hAnsiTheme="minorHAnsi" w:cstheme="minorHAnsi"/>
          <w:sz w:val="22"/>
          <w:szCs w:val="22"/>
        </w:rPr>
        <w:t xml:space="preserve"> en todo momento, alineadas con las normas y leyes de aplicación vigentes, de tal manera que en caso de discrepancia prevalecerán las normas legislativas y la presente política se adaptará a los requisitos indicados en dichas normas.</w:t>
      </w:r>
    </w:p>
    <w:p w14:paraId="52A101BE" w14:textId="05CCBB7B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A410EEA" w14:textId="4CE5E772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4A2F4F" w14:textId="77777777" w:rsidR="003F580E" w:rsidRPr="003F580E" w:rsidRDefault="003F580E" w:rsidP="003F580E">
      <w:pPr>
        <w:jc w:val="both"/>
        <w:rPr>
          <w:rFonts w:asciiTheme="minorHAnsi" w:hAnsiTheme="minorHAnsi" w:cstheme="minorHAnsi"/>
          <w:sz w:val="22"/>
          <w:szCs w:val="22"/>
        </w:rPr>
      </w:pPr>
      <w:r w:rsidRPr="003F580E">
        <w:rPr>
          <w:rFonts w:asciiTheme="minorHAnsi" w:hAnsiTheme="minorHAnsi" w:cstheme="minorHAnsi"/>
          <w:sz w:val="22"/>
          <w:szCs w:val="22"/>
        </w:rPr>
        <w:t xml:space="preserve">Esta política de Gestión de Servicios se compone de una serie de principios basados en las necesidades de negocio detectadas y en los riesgos asociados a la prestación de los servicios dentro del alcance. Dichos principios son los siguientes: </w:t>
      </w:r>
    </w:p>
    <w:p w14:paraId="38058E44" w14:textId="0840F857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 xml:space="preserve">e compromete a asegurar una adecuada gestión de la calidad de los servicios entregados a los clientes. </w:t>
      </w:r>
    </w:p>
    <w:p w14:paraId="482F92C1" w14:textId="77DAD0D9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</w:t>
      </w:r>
      <w:r w:rsidRPr="003F580E">
        <w:rPr>
          <w:rFonts w:asciiTheme="minorHAnsi" w:hAnsiTheme="minorHAnsi" w:cstheme="minorHAnsi"/>
          <w:sz w:val="22"/>
          <w:szCs w:val="22"/>
        </w:rPr>
        <w:t xml:space="preserve">egura el alineamiento de esta política de Gestión de Servicios con la política de Calidad y la de Seguridad de la Información de la Compañía. </w:t>
      </w:r>
    </w:p>
    <w:p w14:paraId="641DDDF6" w14:textId="7113604A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3F580E">
        <w:rPr>
          <w:rFonts w:asciiTheme="minorHAnsi" w:hAnsiTheme="minorHAnsi" w:cstheme="minorHAnsi"/>
          <w:sz w:val="22"/>
          <w:szCs w:val="22"/>
        </w:rPr>
        <w:t xml:space="preserve">mpulsa la </w:t>
      </w:r>
      <w:r w:rsidRPr="003F580E">
        <w:rPr>
          <w:rFonts w:asciiTheme="minorHAnsi" w:hAnsiTheme="minorHAnsi" w:cstheme="minorHAnsi"/>
          <w:sz w:val="22"/>
          <w:szCs w:val="22"/>
        </w:rPr>
        <w:t>participación</w:t>
      </w:r>
      <w:r w:rsidRPr="003F580E">
        <w:rPr>
          <w:rFonts w:asciiTheme="minorHAnsi" w:hAnsiTheme="minorHAnsi" w:cstheme="minorHAnsi"/>
          <w:sz w:val="22"/>
          <w:szCs w:val="22"/>
        </w:rPr>
        <w:t xml:space="preserve"> en la planificación, coordinación, implantación, elaboración, revisión y mejora continua de los servicios de TIWS, dispone de los roles necesarios en las diferentes áreas dentro de la organización. </w:t>
      </w:r>
    </w:p>
    <w:p w14:paraId="68D91D20" w14:textId="2076E17A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</w:t>
      </w:r>
      <w:r w:rsidRPr="003F580E">
        <w:rPr>
          <w:rFonts w:asciiTheme="minorHAnsi" w:hAnsiTheme="minorHAnsi" w:cstheme="minorHAnsi"/>
          <w:sz w:val="22"/>
          <w:szCs w:val="22"/>
        </w:rPr>
        <w:t xml:space="preserve">signa funciones, responsabilidades y recursos, que garantizan la calidad en los servicios prestados a los clientes. </w:t>
      </w:r>
    </w:p>
    <w:p w14:paraId="6C3F5101" w14:textId="2ED1BF67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 xml:space="preserve">e responsabiliza de la gestión de los riesgos considerados como determinantes para la gestión de los servicios. </w:t>
      </w:r>
    </w:p>
    <w:p w14:paraId="3865C227" w14:textId="44DF71E8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>e compromete a reducir los riesgos asociados a la prestación de los servicios, protegiendo la infraestructura que soporta los servicios y la información gestionada por éste, contra cualquier trato</w:t>
      </w:r>
      <w:r w:rsidRPr="003F580E">
        <w:rPr>
          <w:rFonts w:asciiTheme="minorHAnsi" w:hAnsiTheme="minorHAnsi" w:cstheme="minorHAnsi"/>
          <w:sz w:val="22"/>
          <w:szCs w:val="22"/>
        </w:rPr>
        <w:t xml:space="preserve"> </w:t>
      </w:r>
      <w:r w:rsidRPr="003F580E">
        <w:rPr>
          <w:rFonts w:asciiTheme="minorHAnsi" w:hAnsiTheme="minorHAnsi" w:cstheme="minorHAnsi"/>
          <w:sz w:val="22"/>
          <w:szCs w:val="22"/>
        </w:rPr>
        <w:t xml:space="preserve">indebido, accidental o deliberado, de origen interno o externo, previniendo posibles incidentes de seguridad y reduciendo el impacto potencial de éstos. </w:t>
      </w:r>
    </w:p>
    <w:p w14:paraId="32D6372C" w14:textId="582CCB6B" w:rsidR="003F580E" w:rsidRPr="003F580E" w:rsidRDefault="003F580E" w:rsidP="003F580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>e compromete a asegurar el cumplimiento de los niveles de servicios acordados entre Business Solutions y sus clientes para los servicios dentro del alcance, así como gestionar las posibles incidencias. peticiones y problemas. Telefónica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F580E">
        <w:rPr>
          <w:rFonts w:asciiTheme="minorHAnsi" w:hAnsiTheme="minorHAnsi" w:cstheme="minorHAnsi"/>
          <w:sz w:val="22"/>
          <w:szCs w:val="22"/>
        </w:rPr>
        <w:t xml:space="preserve">define un sistema que permita detectar, analizar, reportar y corregir posibles deficiencias o incumplimientos en los acuerdos de nivel de servicio requeridos a sus clientes. </w:t>
      </w:r>
    </w:p>
    <w:p w14:paraId="5F0F6721" w14:textId="509E1798" w:rsidR="003F580E" w:rsidRPr="003F580E" w:rsidRDefault="003F580E" w:rsidP="003F580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 xml:space="preserve">e compromete a gestionar la satisfacción de los clientes y sus expectativas respecto al servicio contratado. </w:t>
      </w:r>
    </w:p>
    <w:p w14:paraId="6CF43627" w14:textId="7020B92A" w:rsidR="003F580E" w:rsidRPr="003F580E" w:rsidRDefault="003F580E" w:rsidP="003F580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3F580E">
        <w:rPr>
          <w:rFonts w:asciiTheme="minorHAnsi" w:hAnsiTheme="minorHAnsi" w:cstheme="minorHAnsi"/>
          <w:sz w:val="22"/>
          <w:szCs w:val="22"/>
        </w:rPr>
        <w:t xml:space="preserve">segura el cumplimiento de los requisitos de negocio, los legales, los reglamentados y otros aplicables. </w:t>
      </w:r>
    </w:p>
    <w:p w14:paraId="6FCE55D9" w14:textId="3A80ACED" w:rsidR="003F580E" w:rsidRPr="003F580E" w:rsidRDefault="003F580E" w:rsidP="003F580E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3F580E">
        <w:rPr>
          <w:rFonts w:asciiTheme="minorHAnsi" w:hAnsiTheme="minorHAnsi" w:cstheme="minorHAnsi"/>
          <w:sz w:val="22"/>
          <w:szCs w:val="22"/>
        </w:rPr>
        <w:t xml:space="preserve">naliza la evolución de las tecnologías del mercado y necesidades de los clientes para identificar oportunidades. </w:t>
      </w:r>
    </w:p>
    <w:p w14:paraId="59C06462" w14:textId="6A742ACA" w:rsidR="003F580E" w:rsidRPr="003F580E" w:rsidRDefault="003F580E" w:rsidP="003F580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Pr="003F580E">
        <w:rPr>
          <w:rFonts w:asciiTheme="minorHAnsi" w:hAnsiTheme="minorHAnsi" w:cstheme="minorHAnsi"/>
          <w:sz w:val="22"/>
          <w:szCs w:val="22"/>
        </w:rPr>
        <w:t xml:space="preserve">avorece la comunicación entre el personal que participa en la prestación de los servicios y los clientes y usuarios de dichos servicios. </w:t>
      </w:r>
    </w:p>
    <w:p w14:paraId="44D7FBDD" w14:textId="12C968C1" w:rsidR="003F580E" w:rsidRPr="003F580E" w:rsidRDefault="003F580E" w:rsidP="003F580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3F580E">
        <w:rPr>
          <w:rFonts w:asciiTheme="minorHAnsi" w:hAnsiTheme="minorHAnsi" w:cstheme="minorHAnsi"/>
          <w:sz w:val="22"/>
          <w:szCs w:val="22"/>
        </w:rPr>
        <w:t xml:space="preserve">e compromete a aumentar la eficiencia de los procesos de entrega y soporte para la mejora de los servicios actualmente en desarrollo. </w:t>
      </w:r>
    </w:p>
    <w:p w14:paraId="2AECE259" w14:textId="343675F4" w:rsidR="003A3B0C" w:rsidRPr="003F580E" w:rsidRDefault="003F580E" w:rsidP="003F580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3F580E">
        <w:rPr>
          <w:rFonts w:asciiTheme="minorHAnsi" w:hAnsiTheme="minorHAnsi" w:cstheme="minorHAnsi"/>
          <w:sz w:val="22"/>
          <w:szCs w:val="22"/>
        </w:rPr>
        <w:t>ealiza acciones de concienciación, formación y motivación del personal, acerca de la importancia del desarrollo e implantación de un Sistema de Gestión de Servicios y sobre su implicación en el cumplimiento de las expectativas de los clientes.</w:t>
      </w:r>
    </w:p>
    <w:p w14:paraId="0821931B" w14:textId="0B151CC6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3FD809E" w14:textId="6F3BF913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ACF3946" w14:textId="2AD51782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F3B16A" w14:textId="5EEA0B85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3C8C941" w14:textId="58DD9795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0D0838" w14:textId="3701250F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F78CB0" w14:textId="50DD066A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4BFF7A" w14:textId="6094C588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66AE6EB" w14:textId="0E29B086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065AE6A" w14:textId="07E0F905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CBDE67E" w14:textId="7C405A05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BCA6162" w14:textId="2E06D846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A3CFF1" w14:textId="426D3A93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6CF410" w14:textId="35DC01C6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3CDB6D" w14:textId="3DBABDEA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148144" w14:textId="6DAFDD93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D4425F" w14:textId="0002F4A2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C6F8E39" w14:textId="2EAFC9FF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8E5002B" w14:textId="74444BC2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B1B3F05" w14:textId="5F4D923C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EFE588" w14:textId="3745752A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AC8F2A" w14:textId="3CFD4654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FD8F5" w14:textId="52B3240B" w:rsidR="003A3B0C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7A8932" w14:textId="77777777" w:rsidR="003A3B0C" w:rsidRPr="00170C97" w:rsidRDefault="003A3B0C" w:rsidP="00170C9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C5A71CB" w14:textId="77777777" w:rsidR="00FC13F6" w:rsidRPr="004D258E" w:rsidRDefault="00FC13F6" w:rsidP="00170C97">
      <w:pPr>
        <w:jc w:val="both"/>
        <w:rPr>
          <w:rFonts w:asciiTheme="minorHAnsi" w:hAnsiTheme="minorHAnsi" w:cs="Arial"/>
          <w:sz w:val="22"/>
          <w:szCs w:val="22"/>
        </w:rPr>
      </w:pPr>
    </w:p>
    <w:p w14:paraId="54CC2BB2" w14:textId="641BAE95" w:rsidR="004D258E" w:rsidRDefault="003A3B0C" w:rsidP="00170C97">
      <w:pPr>
        <w:jc w:val="both"/>
        <w:rPr>
          <w:rFonts w:asciiTheme="minorHAnsi" w:hAnsiTheme="minorHAnsi" w:cs="Arial"/>
          <w:sz w:val="22"/>
          <w:szCs w:val="22"/>
        </w:rPr>
      </w:pPr>
      <w:r w:rsidRPr="003A3B0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ANEXO:</w:t>
      </w:r>
    </w:p>
    <w:p w14:paraId="15058637" w14:textId="02B03DF8" w:rsidR="003A3B0C" w:rsidRPr="004D258E" w:rsidRDefault="003A3B0C" w:rsidP="003A3B0C">
      <w:pPr>
        <w:jc w:val="center"/>
        <w:rPr>
          <w:rFonts w:asciiTheme="minorHAnsi" w:hAnsiTheme="minorHAnsi" w:cs="Arial"/>
          <w:sz w:val="22"/>
          <w:szCs w:val="22"/>
        </w:rPr>
      </w:pPr>
      <w:r>
        <w:rPr>
          <w:noProof/>
        </w:rPr>
        <w:drawing>
          <wp:inline distT="0" distB="0" distL="0" distR="0" wp14:anchorId="3E45F796" wp14:editId="1D37FA95">
            <wp:extent cx="3724275" cy="551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3949" w14:textId="77777777" w:rsidR="004D258E" w:rsidRPr="004D258E" w:rsidRDefault="004D258E" w:rsidP="00170C97">
      <w:pPr>
        <w:jc w:val="both"/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170C97">
      <w:pPr>
        <w:jc w:val="both"/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0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E9116" w14:textId="77777777" w:rsidR="000D43BF" w:rsidRDefault="000D43BF" w:rsidP="000F1717">
      <w:r>
        <w:separator/>
      </w:r>
    </w:p>
  </w:endnote>
  <w:endnote w:type="continuationSeparator" w:id="0">
    <w:p w14:paraId="3761C182" w14:textId="77777777" w:rsidR="000D43BF" w:rsidRDefault="000D43BF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CD1C" w14:textId="77777777" w:rsidR="000D43BF" w:rsidRDefault="000D43BF" w:rsidP="000F1717">
      <w:r>
        <w:separator/>
      </w:r>
    </w:p>
  </w:footnote>
  <w:footnote w:type="continuationSeparator" w:id="0">
    <w:p w14:paraId="0DBAA75A" w14:textId="77777777" w:rsidR="000D43BF" w:rsidRDefault="000D43BF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40B10"/>
    <w:multiLevelType w:val="hybridMultilevel"/>
    <w:tmpl w:val="6A6AE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E8E"/>
    <w:multiLevelType w:val="hybridMultilevel"/>
    <w:tmpl w:val="3FBC7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49FB"/>
    <w:multiLevelType w:val="hybridMultilevel"/>
    <w:tmpl w:val="AAC4AE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56D91"/>
    <w:multiLevelType w:val="hybridMultilevel"/>
    <w:tmpl w:val="5BBA6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37BE5"/>
    <w:rsid w:val="000558E9"/>
    <w:rsid w:val="00055DF7"/>
    <w:rsid w:val="0009297A"/>
    <w:rsid w:val="0009458D"/>
    <w:rsid w:val="000A2ABE"/>
    <w:rsid w:val="000C6573"/>
    <w:rsid w:val="000C667E"/>
    <w:rsid w:val="000D43BF"/>
    <w:rsid w:val="000D674B"/>
    <w:rsid w:val="000D7B45"/>
    <w:rsid w:val="000E2A92"/>
    <w:rsid w:val="000F1717"/>
    <w:rsid w:val="000F206B"/>
    <w:rsid w:val="00101BD6"/>
    <w:rsid w:val="001109A0"/>
    <w:rsid w:val="00121CD5"/>
    <w:rsid w:val="00131CF7"/>
    <w:rsid w:val="00151E8A"/>
    <w:rsid w:val="00170C97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830B0"/>
    <w:rsid w:val="00290D5A"/>
    <w:rsid w:val="002931FC"/>
    <w:rsid w:val="002A475B"/>
    <w:rsid w:val="002C1B00"/>
    <w:rsid w:val="002C56F3"/>
    <w:rsid w:val="002F0B3B"/>
    <w:rsid w:val="00305B9E"/>
    <w:rsid w:val="0035126B"/>
    <w:rsid w:val="003A3B0C"/>
    <w:rsid w:val="003A634D"/>
    <w:rsid w:val="003B6C08"/>
    <w:rsid w:val="003E4E3D"/>
    <w:rsid w:val="003F064C"/>
    <w:rsid w:val="003F580E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5F1283"/>
    <w:rsid w:val="00603DA1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26B13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252C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C3670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85C83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1619"/>
    <w:rsid w:val="00EC5862"/>
    <w:rsid w:val="00ED08BE"/>
    <w:rsid w:val="00F042CE"/>
    <w:rsid w:val="00F07B3A"/>
    <w:rsid w:val="00F16E44"/>
    <w:rsid w:val="00F17E9B"/>
    <w:rsid w:val="00F20985"/>
    <w:rsid w:val="00F2224A"/>
    <w:rsid w:val="00F27895"/>
    <w:rsid w:val="00F327AF"/>
    <w:rsid w:val="00F3643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C1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09A0"/>
    <w:pPr>
      <w:suppressAutoHyphens w:val="0"/>
      <w:spacing w:before="100" w:beforeAutospacing="1" w:after="100" w:afterAutospacing="1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17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11</cp:revision>
  <dcterms:created xsi:type="dcterms:W3CDTF">2020-04-05T20:04:00Z</dcterms:created>
  <dcterms:modified xsi:type="dcterms:W3CDTF">2021-02-28T14:20:00Z</dcterms:modified>
</cp:coreProperties>
</file>