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3D6" w:rsidRDefault="00D663D6">
      <w:pPr>
        <w:pStyle w:val="Puesto"/>
        <w:framePr w:w="0" w:hSpace="0" w:vSpace="0" w:wrap="auto" w:vAnchor="margin" w:hAnchor="text" w:xAlign="left" w:yAlign="inline"/>
      </w:pPr>
      <w:bookmarkStart w:id="0" w:name="_GoBack"/>
      <w:bookmarkEnd w:id="0"/>
      <w:r>
        <w:t>Preparation of Papers for Publication</w:t>
      </w:r>
      <w:r>
        <w:br w:type="textWrapping" w:clear="all"/>
        <w:t>in IEEE Transactions on Consumer Electronics</w:t>
      </w:r>
    </w:p>
    <w:p w:rsidR="00D663D6" w:rsidRDefault="00D663D6">
      <w:pPr>
        <w:pStyle w:val="Authors"/>
      </w:pPr>
      <w:r>
        <w:t xml:space="preserve">First </w:t>
      </w:r>
      <w:r w:rsidR="008A5BAA">
        <w:t>A. Author, Second B. Author</w:t>
      </w:r>
      <w:r>
        <w:t>, and Third C. Author</w:t>
      </w:r>
    </w:p>
    <w:p w:rsidR="00D663D6" w:rsidRDefault="00D663D6"/>
    <w:p w:rsidR="00D663D6" w:rsidRDefault="00D663D6">
      <w:pPr>
        <w:sectPr w:rsidR="00D663D6">
          <w:headerReference w:type="default" r:id="rId8"/>
          <w:type w:val="continuous"/>
          <w:pgSz w:w="12240" w:h="15840" w:code="1"/>
          <w:pgMar w:top="1080" w:right="936" w:bottom="1008" w:left="936" w:header="720" w:footer="720" w:gutter="0"/>
          <w:cols w:space="288"/>
        </w:sectPr>
      </w:pPr>
    </w:p>
    <w:p w:rsidR="00D663D6" w:rsidRDefault="00D663D6">
      <w:pPr>
        <w:pStyle w:val="Abstract"/>
        <w:rPr>
          <w:b w:val="0"/>
          <w:bCs/>
          <w:i/>
          <w:iCs/>
          <w:sz w:val="20"/>
        </w:rPr>
      </w:pPr>
      <w:r>
        <w:lastRenderedPageBreak/>
        <w:t>Abstract</w:t>
      </w:r>
      <w:r>
        <w:rPr>
          <w:b w:val="0"/>
          <w:bCs/>
          <w:sz w:val="20"/>
        </w:rPr>
        <w:t xml:space="preserve"> </w:t>
      </w:r>
      <w:r>
        <w:rPr>
          <w:i/>
          <w:iCs/>
          <w:sz w:val="20"/>
        </w:rPr>
        <w:t xml:space="preserve">— </w:t>
      </w:r>
      <w:r w:rsidR="00A91B5E">
        <w:rPr>
          <w:b w:val="0"/>
          <w:bCs/>
          <w:i/>
          <w:iCs/>
          <w:sz w:val="20"/>
        </w:rPr>
        <w:t xml:space="preserve">These instructions (new version, as of </w:t>
      </w:r>
      <w:r w:rsidR="008410BE">
        <w:rPr>
          <w:b w:val="0"/>
          <w:bCs/>
          <w:i/>
          <w:iCs/>
          <w:sz w:val="20"/>
        </w:rPr>
        <w:t xml:space="preserve">May </w:t>
      </w:r>
      <w:r w:rsidR="00213C80">
        <w:rPr>
          <w:b w:val="0"/>
          <w:bCs/>
          <w:i/>
          <w:iCs/>
          <w:sz w:val="20"/>
        </w:rPr>
        <w:t>201</w:t>
      </w:r>
      <w:r w:rsidR="008410BE">
        <w:rPr>
          <w:b w:val="0"/>
          <w:bCs/>
          <w:i/>
          <w:iCs/>
          <w:sz w:val="20"/>
        </w:rPr>
        <w:t>2</w:t>
      </w:r>
      <w:r w:rsidR="00A91B5E">
        <w:rPr>
          <w:b w:val="0"/>
          <w:bCs/>
          <w:i/>
          <w:iCs/>
          <w:sz w:val="20"/>
        </w:rPr>
        <w:t>) provide</w:t>
      </w:r>
      <w:r w:rsidR="0078267B">
        <w:rPr>
          <w:b w:val="0"/>
          <w:bCs/>
          <w:i/>
          <w:iCs/>
          <w:sz w:val="20"/>
        </w:rPr>
        <w:t xml:space="preserve"> </w:t>
      </w:r>
      <w:r>
        <w:rPr>
          <w:b w:val="0"/>
          <w:bCs/>
          <w:i/>
          <w:iCs/>
          <w:sz w:val="20"/>
        </w:rPr>
        <w:t xml:space="preserve">guidelines for preparing papers for the </w:t>
      </w:r>
      <w:r>
        <w:rPr>
          <w:b w:val="0"/>
          <w:bCs/>
          <w:i/>
          <w:iCs/>
          <w:smallCaps/>
          <w:sz w:val="20"/>
        </w:rPr>
        <w:t>IEEE Transactions on Consumer Electronics</w:t>
      </w:r>
      <w:r>
        <w:rPr>
          <w:b w:val="0"/>
          <w:bCs/>
          <w:i/>
          <w:iCs/>
          <w:sz w:val="20"/>
        </w:rPr>
        <w:t xml:space="preserve">. Use this document as a template with Microsoft Word 6.0 or later. Define all symbols </w:t>
      </w:r>
      <w:r w:rsidR="00F7764B">
        <w:rPr>
          <w:b w:val="0"/>
          <w:bCs/>
          <w:i/>
          <w:iCs/>
          <w:sz w:val="20"/>
        </w:rPr>
        <w:t xml:space="preserve">and terms </w:t>
      </w:r>
      <w:r>
        <w:rPr>
          <w:b w:val="0"/>
          <w:bCs/>
          <w:i/>
          <w:iCs/>
          <w:sz w:val="20"/>
        </w:rPr>
        <w:t>used in the abstract. Do not cite references in the abstract. The abstract body copy should be in Times New Roman, 10 pt. Italic</w:t>
      </w:r>
      <w:r w:rsidR="00AA1C6F">
        <w:rPr>
          <w:b w:val="0"/>
          <w:bCs/>
          <w:i/>
          <w:iCs/>
          <w:sz w:val="20"/>
        </w:rPr>
        <w:t xml:space="preserve"> and not in bold type</w:t>
      </w:r>
      <w:r>
        <w:rPr>
          <w:rStyle w:val="Refdenotaalpie"/>
          <w:b w:val="0"/>
          <w:bCs/>
          <w:i/>
          <w:iCs/>
          <w:sz w:val="20"/>
        </w:rPr>
        <w:footnoteReference w:id="1"/>
      </w:r>
      <w:r>
        <w:rPr>
          <w:b w:val="0"/>
          <w:bCs/>
          <w:i/>
          <w:iCs/>
          <w:sz w:val="20"/>
        </w:rPr>
        <w:t>.</w:t>
      </w:r>
    </w:p>
    <w:p w:rsidR="00D663D6" w:rsidRDefault="00D663D6"/>
    <w:p w:rsidR="00D663D6" w:rsidRDefault="00D663D6">
      <w:pPr>
        <w:pStyle w:val="IndexTerms"/>
      </w:pPr>
      <w:bookmarkStart w:id="1" w:name="PointTmp"/>
      <w:r>
        <w:t>Index Terms — About four key words or phrases in order of importance, separated by commas</w:t>
      </w:r>
      <w:r w:rsidR="00213C80">
        <w:t>, used to compile the subject index for the last issue for the year.</w:t>
      </w:r>
    </w:p>
    <w:bookmarkEnd w:id="1"/>
    <w:p w:rsidR="00D663D6" w:rsidRDefault="00D663D6">
      <w:pPr>
        <w:pStyle w:val="Ttulo1"/>
      </w:pPr>
      <w:r>
        <w:t>I</w:t>
      </w:r>
      <w:r w:rsidR="00741BEE">
        <w:t>ntroduction</w:t>
      </w:r>
    </w:p>
    <w:p w:rsidR="00D663D6" w:rsidRPr="00E4236F" w:rsidRDefault="00D0320D" w:rsidP="00E4236F">
      <w:pPr>
        <w:pStyle w:val="Text"/>
      </w:pPr>
      <w:r w:rsidRPr="00D0320D">
        <w:t>This</w:t>
      </w:r>
      <w:r w:rsidR="00D663D6">
        <w:t xml:space="preserve"> document is </w:t>
      </w:r>
      <w:r w:rsidR="00E4236F">
        <w:t xml:space="preserve">a Microsoft </w:t>
      </w:r>
      <w:r w:rsidR="00E4236F" w:rsidRPr="00D0320D">
        <w:t>Word</w:t>
      </w:r>
      <w:r w:rsidR="00E4236F">
        <w:t xml:space="preserve"> version 6.0 or later </w:t>
      </w:r>
      <w:r w:rsidR="00D663D6">
        <w:t xml:space="preserve">template </w:t>
      </w:r>
      <w:r w:rsidR="00E4236F">
        <w:t>used to prepare your paper</w:t>
      </w:r>
      <w:r w:rsidR="00D663D6">
        <w:t xml:space="preserve">. </w:t>
      </w:r>
      <w:r w:rsidR="00E4236F">
        <w:t>The T</w:t>
      </w:r>
      <w:r w:rsidR="00D663D6">
        <w:t xml:space="preserve">emplate </w:t>
      </w:r>
      <w:r w:rsidR="00E4236F">
        <w:t xml:space="preserve">is downloaded from the </w:t>
      </w:r>
      <w:r w:rsidR="00E4236F">
        <w:rPr>
          <w:iCs/>
          <w:smallCaps/>
        </w:rPr>
        <w:t>IEEE Transactions on Consumer Electronics</w:t>
      </w:r>
      <w:r w:rsidR="00D663D6">
        <w:t xml:space="preserve"> </w:t>
      </w:r>
      <w:r w:rsidR="00E4236F">
        <w:t xml:space="preserve">main web page: </w:t>
      </w:r>
      <w:hyperlink r:id="rId9" w:history="1">
        <w:r w:rsidR="00E4236F" w:rsidRPr="00F4500A">
          <w:rPr>
            <w:rStyle w:val="Hipervnculo"/>
          </w:rPr>
          <w:t>http://www.ewh.ieee.org/soc/ces/publications_trans_ce.html</w:t>
        </w:r>
      </w:hyperlink>
      <w:r w:rsidR="00E4236F">
        <w:t xml:space="preserve">. </w:t>
      </w:r>
      <w:r w:rsidR="00381D2F">
        <w:t xml:space="preserve">Failure to read, understand and follow all aspects of these instructions, especially formatting, is </w:t>
      </w:r>
      <w:r w:rsidR="008E5B9F">
        <w:t>a</w:t>
      </w:r>
      <w:r w:rsidR="00381D2F">
        <w:t xml:space="preserve"> major cause for rejections.</w:t>
      </w:r>
      <w:r w:rsidR="00E4236F">
        <w:t xml:space="preserve"> </w:t>
      </w:r>
      <w:r w:rsidR="00D663D6">
        <w:t xml:space="preserve">The use of this template and its included styles for the parts of the document will ensure the professional appearance of your paper as well as providing a uniform digital source from which to satisfy the electronic publication requirements of </w:t>
      </w:r>
      <w:r w:rsidR="00D663D6" w:rsidRPr="00381D2F">
        <w:rPr>
          <w:i/>
        </w:rPr>
        <w:t>IEEE Xplore</w:t>
      </w:r>
      <w:r w:rsidR="00D663D6">
        <w:rPr>
          <w:iCs/>
        </w:rPr>
        <w:t>.</w:t>
      </w:r>
    </w:p>
    <w:p w:rsidR="00D663D6" w:rsidRDefault="00D663D6">
      <w:pPr>
        <w:pStyle w:val="Text"/>
        <w:rPr>
          <w:i/>
        </w:rPr>
      </w:pPr>
      <w:r>
        <w:t xml:space="preserve">When you open this document, select “Page Layout” or “Print Layout” from the “View” menu in the menu bar, which allows you to see the footnotes. Then type over sections of this document or cut from another document and paste and then use markup styles. The pull-down style menu is at the left of the Formatting Toolbar at the top of your </w:t>
      </w:r>
      <w:r>
        <w:rPr>
          <w:i/>
        </w:rPr>
        <w:t>Word</w:t>
      </w:r>
      <w:r>
        <w:t xml:space="preserve"> window (for example, the style at this point in the document is “Text”). Highlight a section that you want to designate with a certain style, </w:t>
      </w:r>
      <w:r w:rsidR="00A91B5E">
        <w:t>and then</w:t>
      </w:r>
      <w:r>
        <w:t xml:space="preserve"> select the appropriate name on the style menu. The style will adjust your fonts and line spacing. </w:t>
      </w:r>
      <w:r>
        <w:rPr>
          <w:i/>
        </w:rPr>
        <w:t>Do not change the font sizes or line spacing to squeeze more text into a limited number of pages.</w:t>
      </w:r>
      <w:r w:rsidR="0078267B">
        <w:rPr>
          <w:i/>
        </w:rPr>
        <w:t xml:space="preserve"> Do not increase the line spacing either.</w:t>
      </w:r>
      <w:r>
        <w:rPr>
          <w:i/>
        </w:rPr>
        <w:t xml:space="preserve"> </w:t>
      </w:r>
      <w:r w:rsidR="00213C80">
        <w:rPr>
          <w:i/>
        </w:rPr>
        <w:t>Only use fonts that are in this document.</w:t>
      </w:r>
    </w:p>
    <w:p w:rsidR="00D663D6" w:rsidRDefault="00D663D6">
      <w:pPr>
        <w:pStyle w:val="Text"/>
      </w:pPr>
      <w:r>
        <w:t xml:space="preserve">Use italics for emphasis; do not underline. Turn off “smart quotes” (Tools | AutoCorrect | AutoFormat tabs). Turn off </w:t>
      </w:r>
      <w:r>
        <w:lastRenderedPageBreak/>
        <w:t>automatic hyphenation (Tools | Language | Hyphenation).</w:t>
      </w:r>
    </w:p>
    <w:p w:rsidR="00D663D6" w:rsidRDefault="00D663D6">
      <w:pPr>
        <w:pStyle w:val="Text"/>
      </w:pPr>
      <w:r>
        <w:t xml:space="preserve">To insert images in </w:t>
      </w:r>
      <w:r>
        <w:rPr>
          <w:i/>
        </w:rPr>
        <w:t>Word,</w:t>
      </w:r>
      <w:r>
        <w:t xml:space="preserve"> position the cursor at the insertion point and either use Insert | Picture | From File or copy the image to the Windows clipboard and then Edit | Paste Special | Picture (with “Float over text” unchecked). See figure in section V</w:t>
      </w:r>
      <w:r w:rsidR="009331BE">
        <w:t>I</w:t>
      </w:r>
      <w:r>
        <w:t>I for further instructions.</w:t>
      </w:r>
      <w:r w:rsidR="00870708">
        <w:t xml:space="preserve">  </w:t>
      </w:r>
    </w:p>
    <w:p w:rsidR="00D663D6" w:rsidRDefault="00D663D6">
      <w:pPr>
        <w:pStyle w:val="Ttulo1"/>
      </w:pPr>
      <w:r>
        <w:t>Procedure for Paper Submission</w:t>
      </w:r>
    </w:p>
    <w:p w:rsidR="00D663D6" w:rsidRDefault="00D663D6">
      <w:pPr>
        <w:pStyle w:val="Text"/>
      </w:pPr>
      <w:r>
        <w:t>This section covers the details regarding preparation of your manuscript for submission, the submission procedure, review process and copyright information.</w:t>
      </w:r>
    </w:p>
    <w:p w:rsidR="00D663D6" w:rsidRDefault="00D663D6">
      <w:pPr>
        <w:pStyle w:val="Ttulo2"/>
      </w:pPr>
      <w:r>
        <w:t>Preparation of Manuscript</w:t>
      </w:r>
    </w:p>
    <w:p w:rsidR="00D663D6" w:rsidRDefault="00D663D6">
      <w:pPr>
        <w:pStyle w:val="Text"/>
      </w:pPr>
      <w:r>
        <w:t xml:space="preserve">In the interest of speed and economy, the </w:t>
      </w:r>
      <w:r>
        <w:rPr>
          <w:smallCaps/>
        </w:rPr>
        <w:t>IEEE Transactions on Consumer Electronics</w:t>
      </w:r>
      <w:r>
        <w:t xml:space="preserve"> </w:t>
      </w:r>
      <w:r w:rsidR="00E4236F">
        <w:t xml:space="preserve">only accepts “camera-ready” papers that are </w:t>
      </w:r>
      <w:r>
        <w:t xml:space="preserve">printed directly from this electronic template as furnished by the author. </w:t>
      </w:r>
      <w:r w:rsidRPr="009441DF">
        <w:rPr>
          <w:i/>
        </w:rPr>
        <w:t>Since the final printed pages look exactly like the submitted copy,</w:t>
      </w:r>
      <w:r>
        <w:t xml:space="preserve"> </w:t>
      </w:r>
      <w:r w:rsidR="00C33A2F">
        <w:t xml:space="preserve">it is </w:t>
      </w:r>
      <w:r>
        <w:t>urge</w:t>
      </w:r>
      <w:r w:rsidR="00C33A2F">
        <w:t>d</w:t>
      </w:r>
      <w:r>
        <w:t xml:space="preserve"> that </w:t>
      </w:r>
      <w:r w:rsidR="00C33A2F">
        <w:t xml:space="preserve">authors take the </w:t>
      </w:r>
      <w:r>
        <w:t>utmost care in the preparation utilizing this electronic template. For your information, page size is 8.5x11 inches and column width is 3.375 inches. All figures and tables should have adequate titles or captions</w:t>
      </w:r>
      <w:r w:rsidR="00E4236F">
        <w:t xml:space="preserve"> as exampled later in this document</w:t>
      </w:r>
      <w:r>
        <w:t>, and must be integrally placed at their proper location(s) in the text. For the benefit of the readers, the figures, tables, graphs and photos should be placed near the corresponding text</w:t>
      </w:r>
      <w:r w:rsidRPr="00E4236F">
        <w:rPr>
          <w:iCs/>
        </w:rPr>
        <w:t>;</w:t>
      </w:r>
      <w:r>
        <w:rPr>
          <w:i/>
          <w:iCs/>
        </w:rPr>
        <w:t xml:space="preserve"> that is, not accumulated at the end of the text or at the end of the manuscript</w:t>
      </w:r>
      <w:r>
        <w:t>. Further information on Figures and Tables can be found in Section V</w:t>
      </w:r>
      <w:r w:rsidR="005713AC">
        <w:t>I</w:t>
      </w:r>
      <w:r>
        <w:t>I-</w:t>
      </w:r>
      <w:r w:rsidR="00E4236F">
        <w:t>B</w:t>
      </w:r>
      <w:r>
        <w:t>.</w:t>
      </w:r>
    </w:p>
    <w:p w:rsidR="00381D2F" w:rsidRDefault="00381D2F">
      <w:pPr>
        <w:pStyle w:val="Text"/>
      </w:pPr>
      <w:r>
        <w:t>Do not include any blank pages either at the beginning or end of your manuscript</w:t>
      </w:r>
      <w:r w:rsidR="009441DF">
        <w:t>,</w:t>
      </w:r>
      <w:r>
        <w:t xml:space="preserve"> or any messages to the editor or reviewers in your submission.  Paper is expensive, so do not leave any excessive white/unused spaces in your paper.</w:t>
      </w:r>
      <w:r w:rsidR="00213C80">
        <w:t xml:space="preserve"> Authors should avoid the situation where the last page of the paper only contains a sub-set of the authors’ biographies</w:t>
      </w:r>
      <w:r w:rsidR="00E4236F">
        <w:rPr>
          <w:iCs/>
        </w:rPr>
        <w:t>.</w:t>
      </w:r>
    </w:p>
    <w:p w:rsidR="00D663D6" w:rsidRDefault="00D663D6">
      <w:pPr>
        <w:pStyle w:val="Text"/>
      </w:pPr>
      <w:r>
        <w:t xml:space="preserve">Due care should be exercised to avoid the use of abbreviations and phrases which may not be familiar to all readers. Readers of the </w:t>
      </w:r>
      <w:r>
        <w:rPr>
          <w:smallCaps/>
        </w:rPr>
        <w:t>IEEE Transactions on Consumer Electronics</w:t>
      </w:r>
      <w:r>
        <w:t xml:space="preserve"> have wide and diverse backgrounds and may not be employed in the specific area of any given paper, but are still interested in following the state-of-the-art. All abbreviations </w:t>
      </w:r>
      <w:r>
        <w:lastRenderedPageBreak/>
        <w:t>and phrases need to be suitably defined in the text</w:t>
      </w:r>
      <w:r w:rsidR="000F65E2">
        <w:t>, usually, the first time they occur</w:t>
      </w:r>
      <w:r>
        <w:t>.</w:t>
      </w:r>
      <w:r w:rsidR="00E4236F">
        <w:t xml:space="preserve"> It is good practice not to use abbreviations in the title.</w:t>
      </w:r>
    </w:p>
    <w:p w:rsidR="00023BBE" w:rsidRDefault="00023BBE" w:rsidP="00023BBE">
      <w:pPr>
        <w:pStyle w:val="Text"/>
      </w:pPr>
      <w:r w:rsidRPr="00023BBE">
        <w:t>The length of contributed technical papers is limited to 9 pages or less (including all figures and biographies). The length of invited papers is at the discretion of the editor.</w:t>
      </w:r>
    </w:p>
    <w:p w:rsidR="00844D77" w:rsidRDefault="00844D77" w:rsidP="00023BBE">
      <w:pPr>
        <w:pStyle w:val="Text"/>
      </w:pPr>
      <w:r>
        <w:t>Page numbers and page headings are not to be added by authors.</w:t>
      </w:r>
      <w:r w:rsidR="00266D48">
        <w:t xml:space="preserve"> Neither is “Manuscript Received”</w:t>
      </w:r>
      <w:r w:rsidR="00023BBE">
        <w:t xml:space="preserve"> or “Correspondence Author”</w:t>
      </w:r>
      <w:r w:rsidR="00266D48">
        <w:t xml:space="preserve"> information.</w:t>
      </w:r>
    </w:p>
    <w:p w:rsidR="00D663D6" w:rsidRDefault="00D663D6">
      <w:pPr>
        <w:pStyle w:val="Text"/>
      </w:pPr>
      <w:r>
        <w:t xml:space="preserve">Only those who personally write the paper are to be listed as authors. Since it is unlikely that a large number of authors can write a cohesive paper, </w:t>
      </w:r>
      <w:r>
        <w:rPr>
          <w:i/>
        </w:rPr>
        <w:t xml:space="preserve">submissions listing more than </w:t>
      </w:r>
      <w:r w:rsidR="00844D77">
        <w:rPr>
          <w:i/>
        </w:rPr>
        <w:t>five</w:t>
      </w:r>
      <w:r>
        <w:rPr>
          <w:i/>
        </w:rPr>
        <w:t xml:space="preserve"> authors will not be accepted</w:t>
      </w:r>
      <w:r>
        <w:t xml:space="preserve">. The efforts of the persons who contributed to the project described, or who otherwise provide help to the author(s) </w:t>
      </w:r>
      <w:r w:rsidR="009263CA">
        <w:t xml:space="preserve">may </w:t>
      </w:r>
      <w:r>
        <w:t>be recognized in an Acknowledgments section at the end of the paper.</w:t>
      </w:r>
    </w:p>
    <w:p w:rsidR="00D663D6" w:rsidRDefault="00D663D6">
      <w:pPr>
        <w:pStyle w:val="Text"/>
      </w:pPr>
      <w:r>
        <w:t xml:space="preserve">For each author, a brief biography </w:t>
      </w:r>
      <w:r w:rsidR="00C33A2F">
        <w:t xml:space="preserve">for each author is </w:t>
      </w:r>
      <w:r>
        <w:t xml:space="preserve">to be included </w:t>
      </w:r>
      <w:r w:rsidR="00C33A2F">
        <w:t>at the end of the paper as detailed in this template</w:t>
      </w:r>
      <w:r>
        <w:t xml:space="preserve">. </w:t>
      </w:r>
      <w:r w:rsidR="00C33A2F">
        <w:t>T</w:t>
      </w:r>
      <w:r>
        <w:t xml:space="preserve">he inclusion of a small photograph </w:t>
      </w:r>
      <w:r w:rsidR="00B04A09">
        <w:t xml:space="preserve">(head only) </w:t>
      </w:r>
      <w:r>
        <w:t>of each author</w:t>
      </w:r>
      <w:r w:rsidR="00C33A2F" w:rsidRPr="00C33A2F">
        <w:t xml:space="preserve"> </w:t>
      </w:r>
      <w:r w:rsidR="00A52D93">
        <w:t xml:space="preserve">is </w:t>
      </w:r>
      <w:r w:rsidR="00C33A2F">
        <w:t>encourage</w:t>
      </w:r>
      <w:r w:rsidR="00A52D93">
        <w:t>d</w:t>
      </w:r>
      <w:r w:rsidR="00E4236F">
        <w:t xml:space="preserve"> but not mandatory</w:t>
      </w:r>
      <w:r w:rsidR="00BE1602">
        <w:t>. If an author does not want a photograph, then delete the photobox for that author’s biography.</w:t>
      </w:r>
    </w:p>
    <w:p w:rsidR="00D663D6" w:rsidRDefault="00D663D6">
      <w:pPr>
        <w:pStyle w:val="Ttulo2"/>
      </w:pPr>
      <w:r>
        <w:t>Submission Procedure</w:t>
      </w:r>
    </w:p>
    <w:p w:rsidR="00D663D6" w:rsidRDefault="00D663D6">
      <w:pPr>
        <w:pStyle w:val="Text"/>
      </w:pPr>
      <w:r>
        <w:t xml:space="preserve">The </w:t>
      </w:r>
      <w:r>
        <w:rPr>
          <w:i/>
          <w:iCs/>
        </w:rPr>
        <w:t xml:space="preserve">only </w:t>
      </w:r>
      <w:r>
        <w:t xml:space="preserve">acceptable electronic format is </w:t>
      </w:r>
      <w:r>
        <w:rPr>
          <w:i/>
        </w:rPr>
        <w:t>Word 6.0 or later</w:t>
      </w:r>
      <w:r>
        <w:t xml:space="preserve"> (.doc</w:t>
      </w:r>
      <w:r w:rsidR="00023BBE">
        <w:t xml:space="preserve"> or .docx</w:t>
      </w:r>
      <w:r>
        <w:t xml:space="preserve">). The title of the electronic file should include the last name of the first author; i.e., smith.doc. For papers presented at the ICCE (IEEE International Conference on Consumer Electronics), the file should also include the paper presentation date and the paper number, e.g., </w:t>
      </w:r>
      <w:r w:rsidR="009D2AAE">
        <w:t>1234567890</w:t>
      </w:r>
      <w:r>
        <w:t>. For non-conference papers, use the first two words of the paper title and last name of first author, e.g., Preparation of_</w:t>
      </w:r>
      <w:r w:rsidRPr="00F26377">
        <w:rPr>
          <w:i/>
        </w:rPr>
        <w:t>FirstAuthor</w:t>
      </w:r>
      <w:r>
        <w:t>.doc.</w:t>
      </w:r>
    </w:p>
    <w:p w:rsidR="00D663D6" w:rsidRDefault="00D663D6">
      <w:pPr>
        <w:pStyle w:val="Text"/>
      </w:pPr>
      <w:r>
        <w:t xml:space="preserve">Papers must be submitted electronically to </w:t>
      </w:r>
      <w:hyperlink r:id="rId10" w:history="1">
        <w:r>
          <w:rPr>
            <w:rStyle w:val="Hipervnculo"/>
          </w:rPr>
          <w:t>http://www.cloznet.com/ieee-ce/</w:t>
        </w:r>
      </w:hyperlink>
      <w:r>
        <w:rPr>
          <w:rFonts w:ascii="Arial" w:hAnsi="Arial" w:cs="Arial"/>
        </w:rPr>
        <w:t xml:space="preserve">. </w:t>
      </w:r>
      <w:r>
        <w:t>The web site will require you to enter information about the paper as well as contact information</w:t>
      </w:r>
      <w:r w:rsidR="00F7764B">
        <w:t>, to justify what is new about your paper and why your paper is relevant to Consumer Electronics</w:t>
      </w:r>
      <w:r>
        <w:t xml:space="preserve">. If the paper was presented at ICCE, the paper number must be entered in the appropriate location. Upon successful submission of the paper, </w:t>
      </w:r>
      <w:r w:rsidR="00023BBE">
        <w:t xml:space="preserve">an automatic </w:t>
      </w:r>
      <w:r>
        <w:t>email confirmation will be sent to the contact author.</w:t>
      </w:r>
    </w:p>
    <w:p w:rsidR="00D663D6" w:rsidRDefault="00D663D6">
      <w:pPr>
        <w:pStyle w:val="Text"/>
      </w:pPr>
      <w:r>
        <w:t>The above contact information will also be used to provide a complimentary copy of the issue in which the paper is published to each author.</w:t>
      </w:r>
      <w:r w:rsidR="00FD5AED">
        <w:t xml:space="preserve">  </w:t>
      </w:r>
      <w:r w:rsidR="00995CE7">
        <w:t>O</w:t>
      </w:r>
      <w:r w:rsidR="00023BBE">
        <w:t xml:space="preserve">nly one complimentary copy </w:t>
      </w:r>
      <w:r w:rsidR="00842774">
        <w:t xml:space="preserve">per paper </w:t>
      </w:r>
      <w:r w:rsidR="00023BBE">
        <w:t xml:space="preserve">of the issue in which the paper is published will be sent to the contact author. </w:t>
      </w:r>
      <w:r w:rsidR="00FD5AED">
        <w:t>The T-CE cannot be responsible for wrong, incomplete, or changed mailing addresses or delays by postal services.</w:t>
      </w:r>
    </w:p>
    <w:p w:rsidR="00D663D6" w:rsidRDefault="00D663D6">
      <w:pPr>
        <w:pStyle w:val="Text"/>
      </w:pPr>
      <w:r>
        <w:t>If there are questions, the prospective author may wish to contact:</w:t>
      </w:r>
      <w:r w:rsidR="006F22DC">
        <w:t xml:space="preserve">  </w:t>
      </w:r>
    </w:p>
    <w:p w:rsidR="00D663D6" w:rsidRDefault="00D663D6">
      <w:pPr>
        <w:pStyle w:val="Text"/>
      </w:pPr>
    </w:p>
    <w:p w:rsidR="00D663D6" w:rsidRDefault="00D663D6">
      <w:pPr>
        <w:pStyle w:val="Text"/>
      </w:pPr>
      <w:r>
        <w:tab/>
      </w:r>
      <w:r w:rsidR="00B31824">
        <w:t>R. Simon Sherratt</w:t>
      </w:r>
      <w:r w:rsidR="00217FCE">
        <w:t xml:space="preserve">, </w:t>
      </w:r>
      <w:r>
        <w:t>Editor</w:t>
      </w:r>
      <w:r w:rsidR="009441DF">
        <w:t>-in-Chief</w:t>
      </w:r>
    </w:p>
    <w:p w:rsidR="00D663D6" w:rsidRDefault="00D663D6">
      <w:pPr>
        <w:pStyle w:val="Text"/>
      </w:pPr>
      <w:r>
        <w:tab/>
      </w:r>
      <w:r w:rsidR="00357639" w:rsidRPr="006F22DC">
        <w:rPr>
          <w:i/>
          <w:color w:val="000000"/>
        </w:rPr>
        <w:t>IEEE Transaction</w:t>
      </w:r>
      <w:r w:rsidR="00B31824">
        <w:rPr>
          <w:i/>
          <w:color w:val="000000"/>
        </w:rPr>
        <w:t>s</w:t>
      </w:r>
      <w:r w:rsidR="00357639" w:rsidRPr="006F22DC">
        <w:rPr>
          <w:i/>
          <w:color w:val="000000"/>
        </w:rPr>
        <w:t xml:space="preserve"> on </w:t>
      </w:r>
      <w:r w:rsidR="0002052B" w:rsidRPr="006F22DC">
        <w:rPr>
          <w:i/>
          <w:color w:val="000000"/>
        </w:rPr>
        <w:t>Consumer Electronics</w:t>
      </w:r>
      <w:r w:rsidRPr="006F22DC">
        <w:rPr>
          <w:i/>
          <w:color w:val="000000"/>
        </w:rPr>
        <w:tab/>
      </w:r>
      <w:r w:rsidR="00F26377">
        <w:t xml:space="preserve">      </w:t>
      </w:r>
      <w:r w:rsidR="00357639">
        <w:tab/>
      </w:r>
      <w:r w:rsidR="00357639">
        <w:tab/>
      </w:r>
      <w:r w:rsidR="00357639">
        <w:tab/>
      </w:r>
      <w:r w:rsidR="00357639">
        <w:tab/>
      </w:r>
      <w:r w:rsidR="00357639">
        <w:tab/>
        <w:t xml:space="preserve">    </w:t>
      </w:r>
      <w:hyperlink r:id="rId11" w:history="1">
        <w:r w:rsidR="00B31824">
          <w:rPr>
            <w:rStyle w:val="Hipervnculo"/>
          </w:rPr>
          <w:t>sherratt@ieee.org</w:t>
        </w:r>
      </w:hyperlink>
      <w:r w:rsidR="00B31824">
        <w:t xml:space="preserve"> </w:t>
      </w:r>
    </w:p>
    <w:p w:rsidR="00531D37" w:rsidRDefault="00531D37">
      <w:pPr>
        <w:pStyle w:val="Text"/>
      </w:pPr>
    </w:p>
    <w:p w:rsidR="00531D37" w:rsidRDefault="00531D37" w:rsidP="00AD75EE">
      <w:pPr>
        <w:pStyle w:val="Ttulo2"/>
      </w:pPr>
      <w:r w:rsidRPr="00531D37">
        <w:lastRenderedPageBreak/>
        <w:t>Submission Timing</w:t>
      </w:r>
    </w:p>
    <w:p w:rsidR="004F0379" w:rsidRPr="00531D37" w:rsidRDefault="00531D37" w:rsidP="004F0379">
      <w:pPr>
        <w:pStyle w:val="Text"/>
      </w:pPr>
      <w:r>
        <w:t xml:space="preserve">  </w:t>
      </w:r>
      <w:r w:rsidR="00BE1602">
        <w:t xml:space="preserve">There are </w:t>
      </w:r>
      <w:r>
        <w:t xml:space="preserve">four issues </w:t>
      </w:r>
      <w:r w:rsidR="00BE1602">
        <w:t xml:space="preserve">published </w:t>
      </w:r>
      <w:r>
        <w:t xml:space="preserve">per year, dated February, May, August and November. </w:t>
      </w:r>
      <w:r w:rsidR="008410BE">
        <w:t>The d</w:t>
      </w:r>
      <w:r>
        <w:t xml:space="preserve">eadlines for these four issues </w:t>
      </w:r>
      <w:r w:rsidR="008410BE">
        <w:t xml:space="preserve">in 2012 are </w:t>
      </w:r>
      <w:r>
        <w:t>January 15, April 15, July 15 and October 15, respectively.</w:t>
      </w:r>
      <w:r w:rsidR="00F26377">
        <w:t xml:space="preserve"> </w:t>
      </w:r>
      <w:r w:rsidR="004F0379">
        <w:t xml:space="preserve">However, </w:t>
      </w:r>
      <w:r w:rsidR="00995CE7">
        <w:t>f</w:t>
      </w:r>
      <w:r w:rsidR="008410BE">
        <w:t xml:space="preserve">rom 2013, the deadlines </w:t>
      </w:r>
      <w:r w:rsidR="00995CE7">
        <w:t>will be</w:t>
      </w:r>
      <w:r w:rsidR="008410BE">
        <w:t xml:space="preserve"> January 1, April 1, July 1 and October 1, respectively.</w:t>
      </w:r>
      <w:r w:rsidR="00995CE7">
        <w:t xml:space="preserve"> </w:t>
      </w:r>
      <w:r w:rsidR="00995CE7" w:rsidRPr="00995CE7">
        <w:t>The deadline time is before midnight in the EDT time zone (as of New York, USA.)</w:t>
      </w:r>
    </w:p>
    <w:p w:rsidR="004F0379" w:rsidRDefault="004F0379" w:rsidP="004F0379">
      <w:pPr>
        <w:pStyle w:val="Ttulo2"/>
      </w:pPr>
      <w:r>
        <w:t>ICCE Submissions</w:t>
      </w:r>
    </w:p>
    <w:p w:rsidR="004F0379" w:rsidRPr="00531D37" w:rsidRDefault="004F0379" w:rsidP="00BE1602">
      <w:pPr>
        <w:pStyle w:val="Text"/>
      </w:pPr>
      <w:r>
        <w:t xml:space="preserve">Previously, the February issues were restricted to papers </w:t>
      </w:r>
      <w:r w:rsidRPr="00BE1602">
        <w:rPr>
          <w:i/>
        </w:rPr>
        <w:t>presented</w:t>
      </w:r>
      <w:r>
        <w:t xml:space="preserve"> at the January ICCE, but from 2013 this will move from the February issue to the May issue. Authors should note that as a consequence of the May issue being reserved for ICCE papers, then contributed (non ICCE) papers submitted after the 1</w:t>
      </w:r>
      <w:r>
        <w:rPr>
          <w:vertAlign w:val="superscript"/>
        </w:rPr>
        <w:t>st</w:t>
      </w:r>
      <w:r>
        <w:t xml:space="preserve"> January </w:t>
      </w:r>
      <w:r w:rsidR="00995CE7">
        <w:t>will</w:t>
      </w:r>
      <w:r>
        <w:t xml:space="preserve"> normally considered for the following August issue. Extended ICCE papers submitted for the May issue </w:t>
      </w:r>
      <w:r w:rsidRPr="00995CE7">
        <w:rPr>
          <w:i/>
        </w:rPr>
        <w:t>must cite (reference) the ICCE paper in the extended paper</w:t>
      </w:r>
      <w:r>
        <w:t xml:space="preserve"> as a normal reference to previously published literature, and detail the enhancements in the extended paper over the original ICCE paper.</w:t>
      </w:r>
    </w:p>
    <w:p w:rsidR="00D663D6" w:rsidRDefault="00D663D6" w:rsidP="00AD75EE">
      <w:pPr>
        <w:pStyle w:val="Ttulo2"/>
      </w:pPr>
      <w:r>
        <w:t>Review Process</w:t>
      </w:r>
    </w:p>
    <w:p w:rsidR="00470958" w:rsidRDefault="00D663D6" w:rsidP="00BE1602">
      <w:pPr>
        <w:pStyle w:val="Text"/>
        <w:ind w:firstLine="144"/>
        <w:rPr>
          <w:iCs/>
        </w:rPr>
      </w:pPr>
      <w:r>
        <w:t>All papers</w:t>
      </w:r>
      <w:r w:rsidR="00BE1602">
        <w:t>, including resubmitted</w:t>
      </w:r>
      <w:r>
        <w:t xml:space="preserve"> </w:t>
      </w:r>
      <w:r w:rsidR="00BE1602">
        <w:t xml:space="preserve">papers, submitted </w:t>
      </w:r>
      <w:r>
        <w:t xml:space="preserve">to the </w:t>
      </w:r>
      <w:r>
        <w:rPr>
          <w:smallCaps/>
        </w:rPr>
        <w:t xml:space="preserve">IEEE Transactions on Consumer Electronics </w:t>
      </w:r>
      <w:r>
        <w:t>are subject to a thorough review process. The Editor</w:t>
      </w:r>
      <w:r w:rsidR="002C2DDA">
        <w:t>-in-Chief</w:t>
      </w:r>
      <w:r>
        <w:t xml:space="preserve"> is responsible for coordinating the review among </w:t>
      </w:r>
      <w:r w:rsidR="00995CE7">
        <w:t>the Associate Editors</w:t>
      </w:r>
      <w:r>
        <w:t xml:space="preserve"> and making final decisions on each paper</w:t>
      </w:r>
      <w:r>
        <w:rPr>
          <w:i/>
          <w:iCs/>
        </w:rPr>
        <w:t>.</w:t>
      </w:r>
    </w:p>
    <w:p w:rsidR="00470958" w:rsidRDefault="00470958" w:rsidP="00BE1602">
      <w:pPr>
        <w:pStyle w:val="Text"/>
        <w:ind w:firstLine="144"/>
        <w:rPr>
          <w:iCs/>
        </w:rPr>
      </w:pPr>
      <w:r>
        <w:rPr>
          <w:iCs/>
        </w:rPr>
        <w:t>When a paper submitted, an automatic email receipt is sent to the contact author containing a unique URL that allows authors to resubmit new versions of their paper. This URL will be available until the issue submission deadline. Please use this method to send updated papers before the deadline rather than creating new submissions.</w:t>
      </w:r>
    </w:p>
    <w:p w:rsidR="00D663D6" w:rsidRPr="00BE1602" w:rsidRDefault="00470958" w:rsidP="00BE1602">
      <w:pPr>
        <w:pStyle w:val="Text"/>
        <w:ind w:firstLine="144"/>
      </w:pPr>
      <w:r>
        <w:rPr>
          <w:iCs/>
        </w:rPr>
        <w:t>The contact a</w:t>
      </w:r>
      <w:r w:rsidR="00F16AA5">
        <w:rPr>
          <w:iCs/>
        </w:rPr>
        <w:t>uthor will be notified by email at the conclusion of this Review Process.</w:t>
      </w:r>
      <w:r w:rsidR="00D663D6">
        <w:rPr>
          <w:i/>
          <w:iCs/>
        </w:rPr>
        <w:t xml:space="preserve"> Routine inquiries as to the status of the submitted paper within the Review process or </w:t>
      </w:r>
      <w:r w:rsidR="008E5B9F">
        <w:rPr>
          <w:i/>
          <w:iCs/>
        </w:rPr>
        <w:t xml:space="preserve">questions about </w:t>
      </w:r>
      <w:r w:rsidR="00D663D6">
        <w:rPr>
          <w:i/>
          <w:iCs/>
        </w:rPr>
        <w:t>when the issue will be completed</w:t>
      </w:r>
      <w:r w:rsidR="00F62487">
        <w:rPr>
          <w:i/>
          <w:iCs/>
        </w:rPr>
        <w:t xml:space="preserve"> and available, either in hard copy or on IEEE Xplore,</w:t>
      </w:r>
      <w:r w:rsidR="00D663D6">
        <w:rPr>
          <w:i/>
          <w:iCs/>
        </w:rPr>
        <w:t xml:space="preserve"> </w:t>
      </w:r>
      <w:r w:rsidR="00F62487">
        <w:rPr>
          <w:i/>
          <w:iCs/>
        </w:rPr>
        <w:t xml:space="preserve">will not </w:t>
      </w:r>
      <w:r w:rsidR="00D663D6">
        <w:rPr>
          <w:i/>
          <w:iCs/>
        </w:rPr>
        <w:t>be accommodated.</w:t>
      </w:r>
      <w:r w:rsidR="00BE1602" w:rsidRPr="00995CE7">
        <w:rPr>
          <w:iCs/>
        </w:rPr>
        <w:t xml:space="preserve"> IEEE members should note they can sign-up to an e-mail notice to inform when new issues are posted to Xplore, or an RSS feed.</w:t>
      </w:r>
      <w:r w:rsidR="00995CE7">
        <w:rPr>
          <w:iCs/>
        </w:rPr>
        <w:t xml:space="preserve"> The accept/reject results are e-mailed </w:t>
      </w:r>
      <w:r>
        <w:rPr>
          <w:iCs/>
        </w:rPr>
        <w:t xml:space="preserve">normally </w:t>
      </w:r>
      <w:r w:rsidR="00995CE7">
        <w:rPr>
          <w:iCs/>
        </w:rPr>
        <w:t>in the third to fourth week of the month of the issue (i.e. February, May, August and November.)</w:t>
      </w:r>
    </w:p>
    <w:p w:rsidR="00F62487" w:rsidRDefault="00031294" w:rsidP="00AD75EE">
      <w:pPr>
        <w:pStyle w:val="Text"/>
        <w:ind w:firstLine="144"/>
        <w:rPr>
          <w:iCs/>
        </w:rPr>
      </w:pPr>
      <w:r>
        <w:rPr>
          <w:iCs/>
        </w:rPr>
        <w:t xml:space="preserve">If the paper is accepted, there is no opportunity to make any changes from what was originally submitted. What was submitted is what will be printed and posted on </w:t>
      </w:r>
      <w:r w:rsidRPr="00AC08D7">
        <w:rPr>
          <w:i/>
          <w:iCs/>
        </w:rPr>
        <w:t>IEEE Xplore</w:t>
      </w:r>
      <w:r>
        <w:rPr>
          <w:iCs/>
        </w:rPr>
        <w:t>.</w:t>
      </w:r>
    </w:p>
    <w:p w:rsidR="00F62487" w:rsidRPr="006F1DAE" w:rsidRDefault="00F62487" w:rsidP="00AD75EE">
      <w:pPr>
        <w:pStyle w:val="Ttulo2"/>
      </w:pPr>
      <w:r w:rsidRPr="00F62487">
        <w:t>Resubmissions</w:t>
      </w:r>
    </w:p>
    <w:p w:rsidR="00D663D6" w:rsidRDefault="00F62487" w:rsidP="00AD75EE">
      <w:pPr>
        <w:pStyle w:val="Text"/>
        <w:ind w:firstLine="144"/>
      </w:pPr>
      <w:r>
        <w:rPr>
          <w:iCs/>
        </w:rPr>
        <w:t xml:space="preserve">In cases where the </w:t>
      </w:r>
      <w:r w:rsidR="00714C55">
        <w:rPr>
          <w:iCs/>
        </w:rPr>
        <w:t>Editor</w:t>
      </w:r>
      <w:r>
        <w:rPr>
          <w:iCs/>
        </w:rPr>
        <w:t xml:space="preserve"> rejects a submission, resubmission may be encouraged. </w:t>
      </w:r>
      <w:r w:rsidR="00470958">
        <w:rPr>
          <w:iCs/>
        </w:rPr>
        <w:t>Corrected manuscripts may be resubmitted</w:t>
      </w:r>
      <w:r>
        <w:rPr>
          <w:iCs/>
        </w:rPr>
        <w:t xml:space="preserve"> via the same T-CE web site</w:t>
      </w:r>
      <w:r w:rsidR="00B3280A">
        <w:rPr>
          <w:iCs/>
        </w:rPr>
        <w:t>, being sure to select the “Y</w:t>
      </w:r>
      <w:r w:rsidR="007F1AF9">
        <w:rPr>
          <w:iCs/>
        </w:rPr>
        <w:t>es</w:t>
      </w:r>
      <w:r w:rsidR="00B3280A">
        <w:rPr>
          <w:iCs/>
        </w:rPr>
        <w:t xml:space="preserve">” button </w:t>
      </w:r>
      <w:r w:rsidR="00470958">
        <w:rPr>
          <w:iCs/>
        </w:rPr>
        <w:t>indicating a resubmission.</w:t>
      </w:r>
    </w:p>
    <w:p w:rsidR="00D663D6" w:rsidRDefault="00D663D6" w:rsidP="00AD75EE">
      <w:pPr>
        <w:pStyle w:val="Ttulo2"/>
      </w:pPr>
      <w:r>
        <w:t>Copyright</w:t>
      </w:r>
    </w:p>
    <w:p w:rsidR="00F26377" w:rsidRDefault="00D663D6" w:rsidP="00842774">
      <w:pPr>
        <w:spacing w:before="100" w:beforeAutospacing="1" w:after="100" w:afterAutospacing="1"/>
        <w:ind w:firstLine="180"/>
        <w:jc w:val="both"/>
      </w:pPr>
      <w:r>
        <w:t xml:space="preserve">It is the policy of the IEEE to own the copyright to the technical contributions that it publishes on behalf of the </w:t>
      </w:r>
      <w:r>
        <w:lastRenderedPageBreak/>
        <w:t xml:space="preserve">interests of the IEEE, its authors, their employers, and to facilitate the appropriate re-use of this material by others. To comply with the </w:t>
      </w:r>
      <w:smartTag w:uri="urn:schemas-microsoft-com:office:smarttags" w:element="place">
        <w:smartTag w:uri="urn:schemas-microsoft-com:office:smarttags" w:element="country-region">
          <w:r>
            <w:t>U.S.</w:t>
          </w:r>
        </w:smartTag>
      </w:smartTag>
      <w:r>
        <w:t xml:space="preserve"> copyright law, authors are required to sign an </w:t>
      </w:r>
      <w:r>
        <w:rPr>
          <w:i/>
          <w:iCs/>
        </w:rPr>
        <w:t>IEEE Copyright Form</w:t>
      </w:r>
      <w:r>
        <w:t xml:space="preserve"> before publication. Authors must submit a signed copy of this form </w:t>
      </w:r>
      <w:r w:rsidR="00470958">
        <w:t xml:space="preserve">after submitting each </w:t>
      </w:r>
      <w:r>
        <w:t>manuscript.  The form will be generated during th</w:t>
      </w:r>
      <w:r w:rsidR="00470958">
        <w:t>e electronic submission process. Also a unique URL is given in the email submission receipt</w:t>
      </w:r>
      <w:r w:rsidR="0080037B">
        <w:t xml:space="preserve"> to regenerate the form if required and submit the form to the paper submission site.</w:t>
      </w:r>
    </w:p>
    <w:p w:rsidR="004D4B83" w:rsidRDefault="00F26377" w:rsidP="00031294">
      <w:pPr>
        <w:spacing w:before="100" w:beforeAutospacing="1"/>
        <w:ind w:left="605"/>
        <w:jc w:val="both"/>
      </w:pPr>
      <w:r>
        <w:t>Print it</w:t>
      </w:r>
    </w:p>
    <w:p w:rsidR="00F26377" w:rsidRDefault="00F26377" w:rsidP="00031294">
      <w:pPr>
        <w:spacing w:before="100" w:beforeAutospacing="1"/>
        <w:ind w:left="605"/>
        <w:jc w:val="both"/>
      </w:pPr>
      <w:r>
        <w:t>Sign it</w:t>
      </w:r>
    </w:p>
    <w:p w:rsidR="00A73F7B" w:rsidRDefault="00F26377" w:rsidP="00031294">
      <w:pPr>
        <w:spacing w:before="100" w:beforeAutospacing="1"/>
        <w:ind w:left="605"/>
        <w:jc w:val="both"/>
      </w:pPr>
      <w:r>
        <w:t>Scan it (PDF preferred)</w:t>
      </w:r>
    </w:p>
    <w:p w:rsidR="00F26377" w:rsidRDefault="00F26377" w:rsidP="00031294">
      <w:pPr>
        <w:spacing w:before="100" w:beforeAutospacing="1"/>
        <w:ind w:left="605"/>
        <w:jc w:val="both"/>
        <w:rPr>
          <w:i/>
        </w:rPr>
      </w:pPr>
      <w:r>
        <w:t>Upload it to:</w:t>
      </w:r>
      <w:r w:rsidR="000B450C">
        <w:t xml:space="preserve">  </w:t>
      </w:r>
      <w:r w:rsidR="000B450C" w:rsidRPr="000B450C">
        <w:rPr>
          <w:i/>
        </w:rPr>
        <w:t>(the</w:t>
      </w:r>
      <w:r w:rsidR="000B450C">
        <w:t xml:space="preserve"> </w:t>
      </w:r>
      <w:r w:rsidR="00A73F7B" w:rsidRPr="00A73F7B">
        <w:rPr>
          <w:i/>
        </w:rPr>
        <w:t>unique URL provided</w:t>
      </w:r>
      <w:r w:rsidR="000B450C">
        <w:rPr>
          <w:i/>
        </w:rPr>
        <w:t>)</w:t>
      </w:r>
      <w:r w:rsidRPr="00A73F7B">
        <w:rPr>
          <w:i/>
        </w:rPr>
        <w:t xml:space="preserve"> </w:t>
      </w:r>
    </w:p>
    <w:p w:rsidR="00AD75EE" w:rsidRDefault="00AD75EE" w:rsidP="00AD75EE">
      <w:pPr>
        <w:pStyle w:val="Ttulo2"/>
      </w:pPr>
      <w:r>
        <w:t>Open-Access Policy</w:t>
      </w:r>
    </w:p>
    <w:p w:rsidR="00AD75EE" w:rsidRPr="00F835A7" w:rsidRDefault="00F835A7" w:rsidP="00F835A7">
      <w:pPr>
        <w:pStyle w:val="Ttulo2"/>
        <w:numPr>
          <w:ilvl w:val="0"/>
          <w:numId w:val="0"/>
        </w:numPr>
        <w:ind w:firstLine="202"/>
        <w:jc w:val="both"/>
        <w:rPr>
          <w:i w:val="0"/>
        </w:rPr>
      </w:pPr>
      <w:r w:rsidRPr="00F835A7">
        <w:rPr>
          <w:i w:val="0"/>
        </w:rPr>
        <w:t>W</w:t>
      </w:r>
      <w:r w:rsidR="00AD75EE">
        <w:rPr>
          <w:i w:val="0"/>
        </w:rPr>
        <w:t xml:space="preserve">here papers are accepted, an acceptance e-mail will be sent that </w:t>
      </w:r>
      <w:r w:rsidR="00714C55">
        <w:rPr>
          <w:i w:val="0"/>
        </w:rPr>
        <w:t xml:space="preserve">also </w:t>
      </w:r>
      <w:r w:rsidR="00AD75EE">
        <w:rPr>
          <w:i w:val="0"/>
        </w:rPr>
        <w:t>contain</w:t>
      </w:r>
      <w:r w:rsidR="00714C55">
        <w:rPr>
          <w:i w:val="0"/>
        </w:rPr>
        <w:t>s</w:t>
      </w:r>
      <w:r w:rsidR="00AD75EE">
        <w:rPr>
          <w:i w:val="0"/>
        </w:rPr>
        <w:t xml:space="preserve"> information on how authors may select their paper to be published on Xplore in </w:t>
      </w:r>
      <w:r>
        <w:rPr>
          <w:i w:val="0"/>
        </w:rPr>
        <w:t xml:space="preserve">an </w:t>
      </w:r>
      <w:r w:rsidR="00AD75EE">
        <w:rPr>
          <w:i w:val="0"/>
        </w:rPr>
        <w:t xml:space="preserve">Open Access </w:t>
      </w:r>
      <w:r>
        <w:rPr>
          <w:i w:val="0"/>
        </w:rPr>
        <w:t xml:space="preserve">format </w:t>
      </w:r>
      <w:r w:rsidR="00AD75EE">
        <w:rPr>
          <w:i w:val="0"/>
        </w:rPr>
        <w:t xml:space="preserve">as per the current IEEE Open Access Policy. There is a </w:t>
      </w:r>
      <w:r>
        <w:rPr>
          <w:i w:val="0"/>
        </w:rPr>
        <w:t xml:space="preserve">significant </w:t>
      </w:r>
      <w:r w:rsidR="00AD75EE">
        <w:rPr>
          <w:i w:val="0"/>
        </w:rPr>
        <w:t>fee for this process.</w:t>
      </w:r>
      <w:r>
        <w:rPr>
          <w:i w:val="0"/>
        </w:rPr>
        <w:t xml:space="preserve"> For details, see IEEE documen</w:t>
      </w:r>
      <w:r w:rsidR="0080037B">
        <w:rPr>
          <w:i w:val="0"/>
        </w:rPr>
        <w:t>tation or the acceptance e-mail sent to the contact author.</w:t>
      </w:r>
    </w:p>
    <w:p w:rsidR="00D663D6" w:rsidRDefault="00D663D6">
      <w:pPr>
        <w:pStyle w:val="Ttulo1"/>
      </w:pPr>
      <w:r>
        <w:t>Criteria for Publication</w:t>
      </w:r>
    </w:p>
    <w:p w:rsidR="00D663D6" w:rsidRDefault="00D663D6">
      <w:pPr>
        <w:pStyle w:val="Text"/>
      </w:pPr>
      <w:r>
        <w:t>The</w:t>
      </w:r>
      <w:r>
        <w:rPr>
          <w:i/>
        </w:rPr>
        <w:t xml:space="preserve"> </w:t>
      </w:r>
      <w:r>
        <w:rPr>
          <w:smallCaps/>
        </w:rPr>
        <w:t>IEEE Transactions on Consumer Electronics</w:t>
      </w:r>
      <w:r>
        <w:t xml:space="preserve"> publishes papers presenting </w:t>
      </w:r>
      <w:r>
        <w:rPr>
          <w:i/>
        </w:rPr>
        <w:t xml:space="preserve">new technology </w:t>
      </w:r>
      <w:r>
        <w:t xml:space="preserve">that is relevant, interesting, enlightening and instructive for members of the Consumer Electronics Society. It should be emphasized that new technology does not simply imply new product development where unusual technical achievement has been attained. The key factor is the emphasis placed on the </w:t>
      </w:r>
      <w:r w:rsidRPr="00BE0615">
        <w:rPr>
          <w:i/>
        </w:rPr>
        <w:t>technology</w:t>
      </w:r>
      <w:r>
        <w:t xml:space="preserve"> rather than the product.</w:t>
      </w:r>
    </w:p>
    <w:p w:rsidR="00D663D6" w:rsidRPr="00666EBF" w:rsidRDefault="00BE1602">
      <w:pPr>
        <w:pStyle w:val="Text"/>
      </w:pPr>
      <w:r>
        <w:t xml:space="preserve">The scope of the </w:t>
      </w:r>
      <w:r>
        <w:rPr>
          <w:smallCaps/>
        </w:rPr>
        <w:t>IEEE Transactions on Consumer Electronics</w:t>
      </w:r>
      <w:r>
        <w:t xml:space="preserve"> is “</w:t>
      </w:r>
      <w:r w:rsidRPr="00BE1602">
        <w:rPr>
          <w:i/>
        </w:rPr>
        <w:t>The engineering and research aspects of the theory, design, construction, manufacture or end use of mass market electronics, systems, software and services for consumers</w:t>
      </w:r>
      <w:r>
        <w:t xml:space="preserve">” and broadly constructed under the following areas: </w:t>
      </w:r>
      <w:r w:rsidR="00D663D6">
        <w:t xml:space="preserve">Camera/Display/Transducer systems, Communications technology related to consumer products, Consumer Networks, Consumer Record/Playback/Storage systems, Signal Processing techniques </w:t>
      </w:r>
      <w:r w:rsidR="00D663D6" w:rsidRPr="00666EBF">
        <w:t xml:space="preserve">applicable to consumer products, </w:t>
      </w:r>
      <w:r w:rsidR="0080037B">
        <w:t xml:space="preserve">Games Technologies </w:t>
      </w:r>
      <w:r w:rsidR="00D663D6" w:rsidRPr="00666EBF">
        <w:t>and Software for Consumer Products.</w:t>
      </w:r>
    </w:p>
    <w:p w:rsidR="00666EBF" w:rsidRDefault="00666EBF" w:rsidP="00666EBF">
      <w:pPr>
        <w:pStyle w:val="Text"/>
      </w:pPr>
      <w:r w:rsidRPr="00666EBF">
        <w:t xml:space="preserve">For authors’ who have not submitted to </w:t>
      </w:r>
      <w:r w:rsidRPr="00666EBF">
        <w:rPr>
          <w:bCs/>
          <w:i/>
          <w:iCs/>
          <w:smallCaps/>
        </w:rPr>
        <w:t>IEEE Transactions on Consumer Electronics</w:t>
      </w:r>
      <w:r w:rsidRPr="00666EBF">
        <w:t xml:space="preserve"> before, it is requested that a </w:t>
      </w:r>
      <w:r>
        <w:t>n</w:t>
      </w:r>
      <w:r w:rsidRPr="00666EBF">
        <w:t>umber of past issues are</w:t>
      </w:r>
      <w:r>
        <w:t xml:space="preserve"> examined to learn the style and language of the journal.</w:t>
      </w:r>
    </w:p>
    <w:p w:rsidR="005265FE" w:rsidRDefault="005265FE">
      <w:pPr>
        <w:pStyle w:val="Text"/>
      </w:pPr>
      <w:r>
        <w:t>It is strongly recommended that papers submitted to the IEEE T-CE be based on papers previously published in the   T-CE</w:t>
      </w:r>
      <w:r w:rsidR="00842774">
        <w:t xml:space="preserve"> and show their relevance to T-CE by citing relevant previous T-CE papers</w:t>
      </w:r>
      <w:r>
        <w:t>.  Our Publications Review Committee will check for such basis when reviewing the References section of all submitted papers.</w:t>
      </w:r>
    </w:p>
    <w:p w:rsidR="00D663D6" w:rsidRDefault="00D663D6">
      <w:pPr>
        <w:pStyle w:val="Text"/>
      </w:pPr>
      <w:r>
        <w:t xml:space="preserve">Gate-level design of integrated circuits, detailed security </w:t>
      </w:r>
      <w:r>
        <w:lastRenderedPageBreak/>
        <w:t xml:space="preserve">systems (including watermarking), </w:t>
      </w:r>
      <w:r w:rsidR="00714C55">
        <w:t>I</w:t>
      </w:r>
      <w:r>
        <w:t xml:space="preserve">nternet and </w:t>
      </w:r>
      <w:r w:rsidR="00714C55">
        <w:t>P</w:t>
      </w:r>
      <w:r>
        <w:t xml:space="preserve">ersonal </w:t>
      </w:r>
      <w:r w:rsidR="00714C55">
        <w:t>C</w:t>
      </w:r>
      <w:r>
        <w:t>omputer design</w:t>
      </w:r>
      <w:r w:rsidR="00A91B5E">
        <w:t>, in</w:t>
      </w:r>
      <w:r>
        <w:t xml:space="preserve"> general will </w:t>
      </w:r>
      <w:r w:rsidRPr="005B247F">
        <w:rPr>
          <w:i/>
        </w:rPr>
        <w:t>not</w:t>
      </w:r>
      <w:r>
        <w:t xml:space="preserve"> be accepted.</w:t>
      </w:r>
    </w:p>
    <w:p w:rsidR="0080037B" w:rsidRDefault="00D663D6" w:rsidP="0080037B">
      <w:pPr>
        <w:pStyle w:val="Text"/>
      </w:pPr>
      <w:r>
        <w:t xml:space="preserve">The emphasis of technology implies certain criteria must be observed in papers presented for publication in the </w:t>
      </w:r>
      <w:r>
        <w:rPr>
          <w:smallCaps/>
        </w:rPr>
        <w:t>IEEE Transactions on Consumer Electronics</w:t>
      </w:r>
      <w:r>
        <w:t xml:space="preserve">. The material in the text of the paper should be of the nature of a revelation of technical information not generally known or familiar to the consumer engineering </w:t>
      </w:r>
      <w:r w:rsidR="0080037B">
        <w:t>community</w:t>
      </w:r>
      <w:r>
        <w:t>. This may be in the form of new technical developments or tutorial in nature where scattered sources of information are brought toge</w:t>
      </w:r>
      <w:r w:rsidR="0080037B">
        <w:t>ther in one coherent reference.</w:t>
      </w:r>
    </w:p>
    <w:p w:rsidR="00D01F09" w:rsidRDefault="00D01F09" w:rsidP="00D01F09">
      <w:pPr>
        <w:pStyle w:val="Text"/>
      </w:pPr>
      <w:r>
        <w:t>Per IEEE policy, authors may not submit a given manuscript to two or more publications without informing the editor that the paper is concurrently under consideration by another publication. Violators will be reported to IEEE and could be subject to suspension of publication opportunities.</w:t>
      </w:r>
    </w:p>
    <w:p w:rsidR="00D01F09" w:rsidRPr="001141A9" w:rsidRDefault="00D01F09" w:rsidP="0080037B">
      <w:pPr>
        <w:pStyle w:val="Text"/>
      </w:pPr>
      <w:r>
        <w:t>It is required that an individual author is not an author in more than 3 papers being considered, per issue, including resubmissions.</w:t>
      </w:r>
    </w:p>
    <w:p w:rsidR="00DE1983" w:rsidRDefault="0080037B" w:rsidP="0080037B">
      <w:pPr>
        <w:pStyle w:val="Ttulo2"/>
      </w:pPr>
      <w:r>
        <w:t>Commercialism</w:t>
      </w:r>
    </w:p>
    <w:p w:rsidR="00D01F09" w:rsidRDefault="00D663D6" w:rsidP="00D01F09">
      <w:pPr>
        <w:pStyle w:val="Text"/>
      </w:pPr>
      <w:r w:rsidRPr="0080037B">
        <w:t xml:space="preserve">All evidence of commercialism is to be meticulously avoided in the title, text, </w:t>
      </w:r>
      <w:r w:rsidR="0080037B">
        <w:t>footnotes,</w:t>
      </w:r>
      <w:r w:rsidR="0080037B" w:rsidRPr="0080037B">
        <w:t xml:space="preserve"> </w:t>
      </w:r>
      <w:r w:rsidRPr="0080037B">
        <w:t>tables</w:t>
      </w:r>
      <w:r w:rsidR="0080037B">
        <w:t xml:space="preserve"> </w:t>
      </w:r>
      <w:r w:rsidRPr="0080037B">
        <w:t xml:space="preserve">and figures of the paper. </w:t>
      </w:r>
      <w:r>
        <w:t>This includes company names, trademarks</w:t>
      </w:r>
      <w:r w:rsidR="0080037B">
        <w:t>, registered logos</w:t>
      </w:r>
      <w:r>
        <w:t xml:space="preserve"> and commercial part numbers. It is appropriate to put the company affiliation of the authors(s), along with email addresses within the footnote on the first page, as indicated by this template. </w:t>
      </w:r>
      <w:r>
        <w:rPr>
          <w:i/>
        </w:rPr>
        <w:t>All commercial part numbers, whether the subject of the paper or not, are to be avoided in the title, text</w:t>
      </w:r>
      <w:r w:rsidR="00DE1983">
        <w:rPr>
          <w:i/>
        </w:rPr>
        <w:t>,</w:t>
      </w:r>
      <w:r>
        <w:rPr>
          <w:i/>
        </w:rPr>
        <w:t xml:space="preserve"> </w:t>
      </w:r>
      <w:r w:rsidR="00DE1983">
        <w:rPr>
          <w:i/>
        </w:rPr>
        <w:t xml:space="preserve">tables </w:t>
      </w:r>
      <w:r>
        <w:rPr>
          <w:i/>
        </w:rPr>
        <w:t>and illustrations</w:t>
      </w:r>
      <w:r>
        <w:t xml:space="preserve">. </w:t>
      </w:r>
      <w:r w:rsidR="00741BEE">
        <w:t>No commercial names or part numbers are now allowed in the footnote.</w:t>
      </w:r>
    </w:p>
    <w:p w:rsidR="00D01F09" w:rsidRPr="001141A9" w:rsidRDefault="00D663D6" w:rsidP="00D01F09">
      <w:pPr>
        <w:pStyle w:val="Text"/>
      </w:pPr>
      <w:r>
        <w:t xml:space="preserve">The </w:t>
      </w:r>
      <w:r>
        <w:rPr>
          <w:smallCaps/>
        </w:rPr>
        <w:t>IEEE Transactions on Consumer Electronics</w:t>
      </w:r>
      <w:r>
        <w:t xml:space="preserve"> must convey a professional approach to its readers and attempts at injecting commercialism in papers presented for publication have been</w:t>
      </w:r>
      <w:r w:rsidR="008E2638">
        <w:t>,</w:t>
      </w:r>
      <w:r>
        <w:t xml:space="preserve"> and will continue to be</w:t>
      </w:r>
      <w:r w:rsidR="00400AA1">
        <w:t>,</w:t>
      </w:r>
      <w:r>
        <w:t xml:space="preserve"> adequate cause for rejection.</w:t>
      </w:r>
    </w:p>
    <w:p w:rsidR="00D01F09" w:rsidRDefault="00D01F09" w:rsidP="00D01F09">
      <w:pPr>
        <w:pStyle w:val="Ttulo2"/>
      </w:pPr>
      <w:r>
        <w:t>Image Copyright</w:t>
      </w:r>
    </w:p>
    <w:p w:rsidR="00D01F09" w:rsidRPr="001141A9" w:rsidRDefault="00D01F09" w:rsidP="00D01F09">
      <w:pPr>
        <w:pStyle w:val="Text"/>
      </w:pPr>
      <w:r>
        <w:t>In general images that are under copyright should be avoided, and in most cases would contravene the commercialism rule. However, in extreme cases, authors can use non-commercial images that are under copyright providing that the authors have permission to do so by the original copyright holder and clearly state after the image caption that the authors have permission from the original copyright holder to use the image.</w:t>
      </w:r>
    </w:p>
    <w:p w:rsidR="00D01F09" w:rsidRDefault="00D01F09" w:rsidP="00D01F09">
      <w:pPr>
        <w:pStyle w:val="Ttulo2"/>
      </w:pPr>
      <w:r>
        <w:t>Plagiarism</w:t>
      </w:r>
    </w:p>
    <w:p w:rsidR="00D01F09" w:rsidRDefault="00714C55" w:rsidP="00D01F09">
      <w:pPr>
        <w:pStyle w:val="Text"/>
        <w:ind w:firstLine="0"/>
      </w:pPr>
      <w:r>
        <w:t xml:space="preserve">The </w:t>
      </w:r>
      <w:r>
        <w:rPr>
          <w:smallCaps/>
        </w:rPr>
        <w:t>IEEE Transactions on Consumer Electronics</w:t>
      </w:r>
      <w:r>
        <w:t xml:space="preserve"> performs a</w:t>
      </w:r>
      <w:r w:rsidR="004049B6">
        <w:t>n</w:t>
      </w:r>
      <w:r>
        <w:t xml:space="preserve"> electronic check </w:t>
      </w:r>
      <w:r w:rsidR="004049B6">
        <w:t xml:space="preserve">on papers </w:t>
      </w:r>
      <w:r>
        <w:t>to detect plagiarism</w:t>
      </w:r>
      <w:r w:rsidR="004049B6">
        <w:t xml:space="preserve"> as per IEEE policy</w:t>
      </w:r>
      <w:r>
        <w:t>. If authors of su</w:t>
      </w:r>
      <w:r w:rsidR="004049B6">
        <w:t xml:space="preserve">bmitted papers are </w:t>
      </w:r>
      <w:r>
        <w:t xml:space="preserve">suspected of </w:t>
      </w:r>
      <w:r w:rsidR="004049B6">
        <w:t xml:space="preserve">significantly presenting work that has been published before, by any author, then the submitted paper will be removed from the submission queue and </w:t>
      </w:r>
      <w:r w:rsidR="00D01F09">
        <w:t xml:space="preserve">fully </w:t>
      </w:r>
      <w:r w:rsidR="004049B6">
        <w:t>investigated.</w:t>
      </w:r>
      <w:r w:rsidR="00D01F09" w:rsidRPr="00D01F09">
        <w:t xml:space="preserve"> </w:t>
      </w:r>
      <w:r w:rsidR="00D01F09">
        <w:t>Violators will be reported to IEEE and could be subject to suspension of publication opportunities.</w:t>
      </w:r>
    </w:p>
    <w:p w:rsidR="00D01F09" w:rsidRDefault="00D01F09" w:rsidP="00D01F09">
      <w:pPr>
        <w:pStyle w:val="Ttulo1"/>
      </w:pPr>
      <w:r>
        <w:lastRenderedPageBreak/>
        <w:t>Chester Sall Memorial Awards</w:t>
      </w:r>
    </w:p>
    <w:p w:rsidR="00D663D6" w:rsidRDefault="00D01F09" w:rsidP="00D01F09">
      <w:pPr>
        <w:pStyle w:val="Text"/>
      </w:pPr>
      <w:r w:rsidRPr="00D01F09">
        <w:t xml:space="preserve">All papers published in the </w:t>
      </w:r>
      <w:r>
        <w:rPr>
          <w:smallCaps/>
        </w:rPr>
        <w:t>IEEE Transactions on Consumer Electronics</w:t>
      </w:r>
      <w:r w:rsidRPr="00D01F09">
        <w:t xml:space="preserve"> become candidates for one of the three Chester W. Sall Best Paper awards. Three papers are chosen each year by the Society’s Awards Committee</w:t>
      </w:r>
      <w:r w:rsidR="00D663D6">
        <w:t>.</w:t>
      </w:r>
    </w:p>
    <w:p w:rsidR="00D663D6" w:rsidRDefault="00D663D6" w:rsidP="00DF566D">
      <w:pPr>
        <w:pStyle w:val="Ttulo1"/>
      </w:pPr>
      <w:r>
        <w:t>M</w:t>
      </w:r>
      <w:r>
        <w:rPr>
          <w:sz w:val="16"/>
        </w:rPr>
        <w:t>ATH</w:t>
      </w:r>
    </w:p>
    <w:p w:rsidR="00D663D6" w:rsidRDefault="00D663D6">
      <w:pPr>
        <w:pStyle w:val="Text"/>
      </w:pPr>
      <w:r>
        <w:t xml:space="preserve">When using </w:t>
      </w:r>
      <w:r>
        <w:rPr>
          <w:i/>
        </w:rPr>
        <w:t>Word,</w:t>
      </w:r>
      <w:r>
        <w:t xml:space="preserve"> use either the Microsoft Equation Editor or the </w:t>
      </w:r>
      <w:r>
        <w:rPr>
          <w:i/>
        </w:rPr>
        <w:t>MathType</w:t>
      </w:r>
      <w:r>
        <w:t xml:space="preserve"> add-on (</w:t>
      </w:r>
      <w:hyperlink r:id="rId12" w:history="1">
        <w:r>
          <w:rPr>
            <w:rStyle w:val="Hipervnculo"/>
          </w:rPr>
          <w:t>http://www.mathtype.com/</w:t>
        </w:r>
      </w:hyperlink>
      <w:r>
        <w:t xml:space="preserve">) for equations in your paper (Insert | Object | Create New | Microsoft Equation </w:t>
      </w:r>
      <w:r>
        <w:rPr>
          <w:i/>
        </w:rPr>
        <w:t>or</w:t>
      </w:r>
      <w:r>
        <w:t xml:space="preserve"> MathType Equation). “Float over text” should </w:t>
      </w:r>
      <w:r>
        <w:rPr>
          <w:i/>
        </w:rPr>
        <w:t>not</w:t>
      </w:r>
      <w:r>
        <w:t xml:space="preserve"> be selected. </w:t>
      </w:r>
    </w:p>
    <w:p w:rsidR="00D663D6" w:rsidRDefault="00D663D6" w:rsidP="00DF566D">
      <w:pPr>
        <w:pStyle w:val="Ttulo1"/>
      </w:pPr>
      <w:r>
        <w:t>Units</w:t>
      </w:r>
    </w:p>
    <w:p w:rsidR="00D663D6" w:rsidRDefault="00D663D6">
      <w:pPr>
        <w:pStyle w:val="Text"/>
      </w:pPr>
      <w:r>
        <w:t xml:space="preserve">Use either SI (MKS) or CGS as primary units. (SI units are strongly encouraged.) </w:t>
      </w:r>
      <w:r w:rsidR="00666EBF">
        <w:t xml:space="preserve">Imperial </w:t>
      </w:r>
      <w:r>
        <w:t>units may be used as secondary units (in parentheses). For example, write “15 Gbit/cm</w:t>
      </w:r>
      <w:r>
        <w:rPr>
          <w:vertAlign w:val="superscript"/>
        </w:rPr>
        <w:t>2</w:t>
      </w:r>
      <w:r>
        <w:t xml:space="preserve"> (100 Gbit/in</w:t>
      </w:r>
      <w:r>
        <w:rPr>
          <w:vertAlign w:val="superscript"/>
        </w:rPr>
        <w:t>2</w:t>
      </w:r>
      <w:r>
        <w:t xml:space="preserve">).” An exception is when English units are used as identifiers in trade, such as “3½ in disk drive.” Avoid combining SI and CGS units. This often leads to confusion because equations do not balance dimensionally. If you must use mixed units, clearly state the units for each quantity in an equation. For further information on units and quantity symbols, please refer to Appendix I of </w:t>
      </w:r>
      <w:r>
        <w:rPr>
          <w:rFonts w:ascii="Courier New" w:eastAsia="Batang" w:hAnsi="Courier New" w:cs="Courier New"/>
          <w:lang w:eastAsia="ko-KR"/>
        </w:rPr>
        <w:t xml:space="preserve"> </w:t>
      </w:r>
      <w:hyperlink r:id="rId13" w:history="1">
        <w:r>
          <w:rPr>
            <w:rStyle w:val="Hipervnculo"/>
            <w:rFonts w:eastAsia="Batang"/>
          </w:rPr>
          <w:t>http://www.ieee.org/portal/cms_docs/pubs/transactions/auinfo03.pdf</w:t>
        </w:r>
      </w:hyperlink>
      <w:r>
        <w:rPr>
          <w:rFonts w:ascii="Courier New" w:eastAsia="Batang" w:hAnsi="Courier New" w:cs="Courier New"/>
          <w:lang w:eastAsia="ko-KR"/>
        </w:rPr>
        <w:t>.</w:t>
      </w:r>
    </w:p>
    <w:p w:rsidR="00D663D6" w:rsidRDefault="00D663D6" w:rsidP="00DF566D">
      <w:pPr>
        <w:pStyle w:val="Ttulo1"/>
      </w:pPr>
      <w:r>
        <w:t>Helpful Hints</w:t>
      </w:r>
    </w:p>
    <w:p w:rsidR="001141A9" w:rsidRDefault="001141A9">
      <w:pPr>
        <w:pStyle w:val="Ttulo2"/>
        <w:rPr>
          <w:i w:val="0"/>
        </w:rPr>
      </w:pPr>
      <w:r>
        <w:t>Use of English</w:t>
      </w:r>
    </w:p>
    <w:p w:rsidR="00C33A2F" w:rsidRDefault="001141A9" w:rsidP="00C33A2F">
      <w:pPr>
        <w:pStyle w:val="Text"/>
      </w:pPr>
      <w:r>
        <w:tab/>
        <w:t>P</w:t>
      </w:r>
      <w:r w:rsidRPr="001141A9">
        <w:t>lease note our official publication language i</w:t>
      </w:r>
      <w:r w:rsidR="00001FF6">
        <w:t>s English and to maintain qualit</w:t>
      </w:r>
      <w:r w:rsidRPr="001141A9">
        <w:t>y consistent with our formal archival publication</w:t>
      </w:r>
      <w:r w:rsidR="00001FF6">
        <w:t>,</w:t>
      </w:r>
      <w:r w:rsidRPr="001141A9">
        <w:t xml:space="preserve"> </w:t>
      </w:r>
      <w:r w:rsidR="00A52D93">
        <w:t xml:space="preserve">it is </w:t>
      </w:r>
      <w:r w:rsidRPr="001141A9">
        <w:t>require</w:t>
      </w:r>
      <w:r w:rsidR="00A52D93">
        <w:t>d</w:t>
      </w:r>
      <w:r w:rsidRPr="001141A9">
        <w:t xml:space="preserve"> that all submissions conf</w:t>
      </w:r>
      <w:r w:rsidR="00A52D93">
        <w:t>o</w:t>
      </w:r>
      <w:r w:rsidRPr="001141A9">
        <w:t xml:space="preserve">rm to </w:t>
      </w:r>
      <w:r w:rsidR="00A52D93">
        <w:t xml:space="preserve">the </w:t>
      </w:r>
      <w:r w:rsidRPr="001141A9">
        <w:t>style and</w:t>
      </w:r>
      <w:r w:rsidR="00001FF6">
        <w:t xml:space="preserve"> formal grammar rules of t</w:t>
      </w:r>
      <w:r w:rsidRPr="001141A9">
        <w:t>he English language.  For this reason</w:t>
      </w:r>
      <w:r w:rsidR="00BC6B2A">
        <w:t>,</w:t>
      </w:r>
      <w:r w:rsidRPr="001141A9">
        <w:t xml:space="preserve"> </w:t>
      </w:r>
      <w:r w:rsidR="00A52D93">
        <w:t xml:space="preserve">it is </w:t>
      </w:r>
      <w:r w:rsidRPr="001141A9">
        <w:t>encourage</w:t>
      </w:r>
      <w:r w:rsidR="00A52D93">
        <w:t>d that</w:t>
      </w:r>
      <w:r w:rsidRPr="001141A9">
        <w:t xml:space="preserve"> all authors whose native language is other than English to enlist the services of a native language speaking colleague or associate to review and edit your submission.</w:t>
      </w:r>
      <w:r w:rsidR="00BC6B2A">
        <w:t xml:space="preserve"> Improper use of the English language will continue to be a sufficient reason for rejection</w:t>
      </w:r>
    </w:p>
    <w:p w:rsidR="00C33A2F" w:rsidRPr="001141A9" w:rsidRDefault="00C33A2F" w:rsidP="00C33A2F">
      <w:pPr>
        <w:pStyle w:val="Text"/>
      </w:pPr>
      <w:r>
        <w:t>The paper should be written in the 3</w:t>
      </w:r>
      <w:r w:rsidRPr="00C33A2F">
        <w:rPr>
          <w:vertAlign w:val="superscript"/>
        </w:rPr>
        <w:t>rd</w:t>
      </w:r>
      <w:r>
        <w:t xml:space="preserve"> person style, therefore avoid “we”, “us”, “I”, etc. </w:t>
      </w:r>
    </w:p>
    <w:p w:rsidR="00D663D6" w:rsidRDefault="00D663D6">
      <w:pPr>
        <w:pStyle w:val="Ttulo2"/>
      </w:pPr>
      <w:r>
        <w:t>Figures and Tables</w:t>
      </w:r>
    </w:p>
    <w:p w:rsidR="00D663D6" w:rsidRDefault="00D663D6">
      <w:pPr>
        <w:pStyle w:val="Text"/>
      </w:pPr>
      <w:r>
        <w:t xml:space="preserve">It is preferable to keep figures and tables (illustrations) to one column width, inline with text.  </w:t>
      </w:r>
    </w:p>
    <w:p w:rsidR="00D663D6" w:rsidRDefault="00D663D6">
      <w:pPr>
        <w:pStyle w:val="Text"/>
      </w:pPr>
      <w:r>
        <w:t>Make the caption bold. Insert the illustra</w:t>
      </w:r>
      <w:r w:rsidR="00F60D60">
        <w:t>tion using Edit | Paste Special</w:t>
      </w:r>
      <w:r>
        <w:t xml:space="preserve"> | As Picture.  Resize the illustration as necessary. Use Format | Picture and set Layout to “In Line with Text”. Insert a paragraph mark (</w:t>
      </w:r>
      <w:r w:rsidR="00A84BE9">
        <w:t>hit “enter”</w:t>
      </w:r>
      <w:r>
        <w:t>) immediately after the illustration. Select the illustration and apply “Table Title” style. Start the caption on the next line (no blank line between illustration and caption). The above procedure will prevent the illustration and caption from becoming disassociated across page boundaries while also preventing them from jumping to another part of the document when different printer drivers or versions of Word are used.</w:t>
      </w:r>
    </w:p>
    <w:p w:rsidR="00D663D6" w:rsidRDefault="00D663D6">
      <w:pPr>
        <w:pStyle w:val="Text"/>
      </w:pPr>
      <w:r>
        <w:lastRenderedPageBreak/>
        <w:t>Do not use unusual or non-English fonts in the text of any figure or table; they will not reproduce correctly.</w:t>
      </w:r>
    </w:p>
    <w:p w:rsidR="00D663D6" w:rsidRDefault="00D663D6">
      <w:pPr>
        <w:pStyle w:val="Text"/>
      </w:pPr>
    </w:p>
    <w:p w:rsidR="00D663D6" w:rsidRDefault="0011665E">
      <w:pPr>
        <w:pStyle w:val="TableTitle"/>
      </w:pPr>
      <w:r>
        <w:rPr>
          <w:noProof/>
          <w:lang w:val="es-EC" w:eastAsia="es-EC"/>
        </w:rPr>
        <w:drawing>
          <wp:inline distT="0" distB="0" distL="0" distR="0">
            <wp:extent cx="2957830" cy="21628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7830" cy="2162810"/>
                    </a:xfrm>
                    <a:prstGeom prst="rect">
                      <a:avLst/>
                    </a:prstGeom>
                    <a:noFill/>
                    <a:ln>
                      <a:noFill/>
                    </a:ln>
                  </pic:spPr>
                </pic:pic>
              </a:graphicData>
            </a:graphic>
          </wp:inline>
        </w:drawing>
      </w:r>
    </w:p>
    <w:p w:rsidR="00D663D6" w:rsidRDefault="00D663D6">
      <w:pPr>
        <w:pStyle w:val="FigureCaption"/>
      </w:pPr>
      <w:r>
        <w:t xml:space="preserve">Fig. 1. Rate-Distortion curves comparing Reference and Proposed algorithms. Note that “Fig.” is abbreviated. There is a period after the figure number, followed by two spaces. It is good practice to explain the significance of the figure.  </w:t>
      </w:r>
    </w:p>
    <w:p w:rsidR="00D663D6" w:rsidRDefault="00D663D6">
      <w:pPr>
        <w:pStyle w:val="Text"/>
      </w:pPr>
    </w:p>
    <w:p w:rsidR="00D663D6" w:rsidRDefault="00D663D6">
      <w:pPr>
        <w:pStyle w:val="Text"/>
      </w:pPr>
      <w:r>
        <w:t>Large figures and tables may span both columns if required for readability.  Illustrations spanning both columns should be placed in a separate single-column section of the document (separated by section breaks), and must be placed at the top or bottom of the page so that the text on the page is read as one complete left column followed by one complete right column.  Place figure captions below the figures</w:t>
      </w:r>
      <w:r w:rsidR="000A61B1">
        <w:t>, as indicated in    Figure 1.</w:t>
      </w:r>
      <w:r>
        <w:t xml:space="preserve"> </w:t>
      </w:r>
      <w:r w:rsidR="000A61B1">
        <w:t>P</w:t>
      </w:r>
      <w:r>
        <w:t>lace table titles above the tables</w:t>
      </w:r>
      <w:r w:rsidR="000A61B1">
        <w:t xml:space="preserve">, as </w:t>
      </w:r>
      <w:r w:rsidR="008E5B9F">
        <w:t>illustrated</w:t>
      </w:r>
      <w:r w:rsidR="000A61B1">
        <w:t xml:space="preserve"> in TABLE I</w:t>
      </w:r>
      <w:r w:rsidR="00741BEE">
        <w:t>, and using the table format as per TABLE I</w:t>
      </w:r>
      <w:r>
        <w:t xml:space="preserve">. Select the table title and the entire table, and use Format…Paragraph…Indents and Spacing to set “Keep with Next.”  This will prevent the title and the table from breaking across page boundaries. If there are captions, apply “Keep With Next” to all but the last caption. </w:t>
      </w:r>
      <w:r w:rsidR="000A61B1">
        <w:t>Contents of tables may not be split between two different columns.</w:t>
      </w:r>
    </w:p>
    <w:p w:rsidR="00D663D6" w:rsidRDefault="00D663D6">
      <w:pPr>
        <w:pStyle w:val="Text"/>
      </w:pPr>
      <w:r>
        <w:t>If your figure has two parts, for example, include the labels “(a)” and “(b)” as part of the artwork. Please verify that figures and tables that you mention in the text actually exist. Use the abbreviation “Fig.” even at the beginning of a sentence. Do not abbreviate “Table.” Tables are numbered with Roman numerals. See Fig. 1 for an example of a single-column illustration.</w:t>
      </w:r>
      <w:r w:rsidR="008410BE">
        <w:t xml:space="preserve"> Only this table format is allowed.</w:t>
      </w:r>
    </w:p>
    <w:p w:rsidR="008410BE" w:rsidRDefault="008410BE">
      <w:pPr>
        <w:pStyle w:val="Text"/>
      </w:pPr>
    </w:p>
    <w:p w:rsidR="00D663D6" w:rsidRDefault="00D663D6">
      <w:pPr>
        <w:pStyle w:val="TableTitle"/>
      </w:pPr>
      <w:r>
        <w:t>TABLE I</w:t>
      </w:r>
    </w:p>
    <w:p w:rsidR="00D663D6" w:rsidRDefault="00D663D6">
      <w:pPr>
        <w:pStyle w:val="TableTitle"/>
      </w:pPr>
      <w:r>
        <w:t>Units and Corresponding Symbols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520"/>
        <w:gridCol w:w="2430"/>
      </w:tblGrid>
      <w:tr w:rsidR="00D663D6">
        <w:trPr>
          <w:trHeight w:val="440"/>
        </w:trPr>
        <w:tc>
          <w:tcPr>
            <w:tcW w:w="2520" w:type="dxa"/>
            <w:tcBorders>
              <w:top w:val="double" w:sz="6" w:space="0" w:color="auto"/>
              <w:bottom w:val="single" w:sz="6" w:space="0" w:color="auto"/>
            </w:tcBorders>
            <w:vAlign w:val="center"/>
          </w:tcPr>
          <w:p w:rsidR="00D663D6" w:rsidRDefault="00D663D6">
            <w:pPr>
              <w:pStyle w:val="TableTitle"/>
              <w:rPr>
                <w:bCs/>
                <w:smallCaps w:val="0"/>
              </w:rPr>
            </w:pPr>
            <w:r>
              <w:rPr>
                <w:bCs/>
                <w:smallCaps w:val="0"/>
              </w:rPr>
              <w:t>Unit</w:t>
            </w:r>
          </w:p>
        </w:tc>
        <w:tc>
          <w:tcPr>
            <w:tcW w:w="2430" w:type="dxa"/>
            <w:tcBorders>
              <w:top w:val="double" w:sz="6" w:space="0" w:color="auto"/>
              <w:bottom w:val="single" w:sz="6" w:space="0" w:color="auto"/>
            </w:tcBorders>
            <w:vAlign w:val="center"/>
          </w:tcPr>
          <w:p w:rsidR="00D663D6" w:rsidRDefault="00D663D6">
            <w:pPr>
              <w:pStyle w:val="TableTitle"/>
              <w:rPr>
                <w:smallCaps w:val="0"/>
              </w:rPr>
            </w:pPr>
            <w:r>
              <w:rPr>
                <w:smallCaps w:val="0"/>
              </w:rPr>
              <w:t>Unit Symbol</w:t>
            </w:r>
          </w:p>
        </w:tc>
      </w:tr>
      <w:tr w:rsidR="00D663D6">
        <w:tc>
          <w:tcPr>
            <w:tcW w:w="2520" w:type="dxa"/>
          </w:tcPr>
          <w:p w:rsidR="00D663D6" w:rsidRDefault="00D663D6">
            <w:pPr>
              <w:keepNext/>
              <w:rPr>
                <w:sz w:val="16"/>
              </w:rPr>
            </w:pPr>
            <w:r>
              <w:rPr>
                <w:sz w:val="16"/>
              </w:rPr>
              <w:t xml:space="preserve">     megabytes per second</w:t>
            </w:r>
          </w:p>
        </w:tc>
        <w:tc>
          <w:tcPr>
            <w:tcW w:w="2430" w:type="dxa"/>
          </w:tcPr>
          <w:p w:rsidR="00D663D6" w:rsidRDefault="00D663D6">
            <w:pPr>
              <w:pStyle w:val="TableTitle"/>
              <w:rPr>
                <w:b w:val="0"/>
                <w:bCs/>
                <w:smallCaps w:val="0"/>
              </w:rPr>
            </w:pPr>
            <w:r>
              <w:rPr>
                <w:b w:val="0"/>
                <w:bCs/>
                <w:smallCaps w:val="0"/>
              </w:rPr>
              <w:t>MB/s</w:t>
            </w:r>
          </w:p>
        </w:tc>
      </w:tr>
      <w:tr w:rsidR="00D663D6">
        <w:trPr>
          <w:trHeight w:val="80"/>
        </w:trPr>
        <w:tc>
          <w:tcPr>
            <w:tcW w:w="2520" w:type="dxa"/>
          </w:tcPr>
          <w:p w:rsidR="00D663D6" w:rsidRDefault="00D663D6">
            <w:pPr>
              <w:keepNext/>
              <w:rPr>
                <w:sz w:val="16"/>
              </w:rPr>
            </w:pPr>
            <w:r>
              <w:rPr>
                <w:sz w:val="16"/>
              </w:rPr>
              <w:t xml:space="preserve">     kilohertz</w:t>
            </w:r>
          </w:p>
        </w:tc>
        <w:tc>
          <w:tcPr>
            <w:tcW w:w="2430" w:type="dxa"/>
          </w:tcPr>
          <w:p w:rsidR="00D663D6" w:rsidRDefault="00D663D6">
            <w:pPr>
              <w:keepNext/>
              <w:jc w:val="center"/>
              <w:rPr>
                <w:sz w:val="16"/>
              </w:rPr>
            </w:pPr>
            <w:r>
              <w:rPr>
                <w:sz w:val="16"/>
              </w:rPr>
              <w:t>kHz</w:t>
            </w:r>
          </w:p>
        </w:tc>
      </w:tr>
      <w:tr w:rsidR="00D663D6">
        <w:tc>
          <w:tcPr>
            <w:tcW w:w="2520" w:type="dxa"/>
          </w:tcPr>
          <w:p w:rsidR="00D663D6" w:rsidRDefault="00D663D6">
            <w:pPr>
              <w:keepNext/>
              <w:rPr>
                <w:sz w:val="16"/>
              </w:rPr>
            </w:pPr>
            <w:r>
              <w:rPr>
                <w:sz w:val="16"/>
              </w:rPr>
              <w:t xml:space="preserve">     nanosecond</w:t>
            </w:r>
          </w:p>
        </w:tc>
        <w:tc>
          <w:tcPr>
            <w:tcW w:w="2430" w:type="dxa"/>
          </w:tcPr>
          <w:p w:rsidR="00D663D6" w:rsidRDefault="00D663D6">
            <w:pPr>
              <w:keepNext/>
              <w:jc w:val="center"/>
              <w:rPr>
                <w:sz w:val="16"/>
              </w:rPr>
            </w:pPr>
            <w:r>
              <w:rPr>
                <w:sz w:val="16"/>
              </w:rPr>
              <w:t>ns</w:t>
            </w:r>
          </w:p>
        </w:tc>
      </w:tr>
    </w:tbl>
    <w:p w:rsidR="00D663D6" w:rsidRDefault="00D663D6">
      <w:pPr>
        <w:pStyle w:val="Textonotapie"/>
      </w:pPr>
      <w:r>
        <w:t xml:space="preserve">Statements that serve as captions for the entire table do not need footnote letters. </w:t>
      </w:r>
    </w:p>
    <w:p w:rsidR="00D663D6" w:rsidRDefault="00D663D6">
      <w:pPr>
        <w:pStyle w:val="Text"/>
      </w:pPr>
    </w:p>
    <w:p w:rsidR="00D663D6" w:rsidRDefault="00D663D6">
      <w:pPr>
        <w:pStyle w:val="Text"/>
      </w:pPr>
      <w:r>
        <w:t xml:space="preserve">Figure axis labels are often a source of confusion. Use words rather than symbols. As an example, write the quantity “Rate,” or “Rate, </w:t>
      </w:r>
      <w:r>
        <w:rPr>
          <w:i/>
        </w:rPr>
        <w:t>R</w:t>
      </w:r>
      <w:r>
        <w:t>,” not just “</w:t>
      </w:r>
      <w:r>
        <w:rPr>
          <w:i/>
        </w:rPr>
        <w:t>R</w:t>
      </w:r>
      <w:r>
        <w:t xml:space="preserve">.” Put units in parentheses. Do not label axes only with units. As in Fig. 1, for example, write “Rate </w:t>
      </w:r>
      <w:r>
        <w:lastRenderedPageBreak/>
        <w:t xml:space="preserve">(kb/s)” or “PSNR (dB).” Do not label axes with a ratio of quantities and units. For example, write “PSNR (dB),” not “PSNR/dB.” </w:t>
      </w:r>
    </w:p>
    <w:p w:rsidR="00D663D6" w:rsidRDefault="00D663D6">
      <w:pPr>
        <w:pStyle w:val="Text"/>
      </w:pPr>
      <w:r>
        <w:t>Multipliers can be especially confusing. Write “Rate (kb/s)” or “Rate (10</w:t>
      </w:r>
      <w:r>
        <w:rPr>
          <w:vertAlign w:val="superscript"/>
        </w:rPr>
        <w:t>3</w:t>
      </w:r>
      <w:r>
        <w:t xml:space="preserve"> b/s),” not “Rate (b/s) </w:t>
      </w:r>
      <w:r>
        <w:sym w:font="Symbol" w:char="F0B4"/>
      </w:r>
      <w:r>
        <w:t xml:space="preserve"> 1000.” Figure labels should be legible, approximately 8 to 12 point type.</w:t>
      </w:r>
    </w:p>
    <w:p w:rsidR="00D663D6" w:rsidRDefault="00D663D6">
      <w:pPr>
        <w:pStyle w:val="Ttulo2"/>
      </w:pPr>
      <w:r>
        <w:t>References</w:t>
      </w:r>
    </w:p>
    <w:p w:rsidR="00714C55" w:rsidRDefault="00D663D6" w:rsidP="00741BEE">
      <w:pPr>
        <w:pStyle w:val="Text"/>
      </w:pPr>
      <w:r>
        <w:t xml:space="preserve">Number citations/references consecutively in square brackets [1]. The sentence punctuation follows the brackets [2]. Multiple references [2], [3] are each numbered with separate brackets [1]-[3]. When citing a section in a book, please give </w:t>
      </w:r>
      <w:r w:rsidR="00714C55">
        <w:t>the relevant page numbers [2].</w:t>
      </w:r>
    </w:p>
    <w:p w:rsidR="00D663D6" w:rsidRDefault="003C0D9D" w:rsidP="00741BEE">
      <w:pPr>
        <w:pStyle w:val="Text"/>
      </w:pPr>
      <w:r>
        <w:t xml:space="preserve">Reference by the authors name(s) or technology, for example “Vetro </w:t>
      </w:r>
      <w:r w:rsidRPr="003C0D9D">
        <w:rPr>
          <w:i/>
        </w:rPr>
        <w:t>et al</w:t>
      </w:r>
      <w:r>
        <w:t xml:space="preserve"> [1]” or “S</w:t>
      </w:r>
      <w:r w:rsidRPr="003C0D9D">
        <w:t>calable DTV decoding</w:t>
      </w:r>
      <w:r>
        <w:t xml:space="preserve"> [1]”. </w:t>
      </w:r>
      <w:r w:rsidR="00714C55">
        <w:t>N</w:t>
      </w:r>
      <w:r>
        <w:t xml:space="preserve">ote the reference pointer does not form part of the readable text, therefore authors should not reference in the format of “… </w:t>
      </w:r>
      <w:r w:rsidR="00D663D6">
        <w:t>as in [3]</w:t>
      </w:r>
      <w:r>
        <w:t>”</w:t>
      </w:r>
      <w:r w:rsidR="00714C55">
        <w:t>, “In [3] …”,</w:t>
      </w:r>
      <w:r>
        <w:t xml:space="preserve"> or “Reference [3] …”</w:t>
      </w:r>
      <w:r w:rsidR="00D663D6">
        <w:t xml:space="preserve">. </w:t>
      </w:r>
    </w:p>
    <w:p w:rsidR="00D663D6" w:rsidRDefault="00D663D6">
      <w:pPr>
        <w:pStyle w:val="Text"/>
      </w:pPr>
      <w:r>
        <w:t>Number footnotes separately in superscripts (Insert | Footnote).</w:t>
      </w:r>
      <w:r>
        <w:rPr>
          <w:rStyle w:val="Refdenotaalpie"/>
        </w:rPr>
        <w:footnoteReference w:id="2"/>
      </w:r>
      <w:r>
        <w:t xml:space="preserve"> Place the actual footnote at the bottom of the column in which it is cited; do not put footnotes in the reference list. </w:t>
      </w:r>
    </w:p>
    <w:p w:rsidR="00D663D6" w:rsidRDefault="00D663D6">
      <w:pPr>
        <w:pStyle w:val="Text"/>
      </w:pPr>
      <w:r>
        <w:t xml:space="preserve">Note that IEEE referencing style is quite different from that used by many physics journals. </w:t>
      </w:r>
      <w:r w:rsidR="003C0D9D">
        <w:t>In the reference list, g</w:t>
      </w:r>
      <w:r>
        <w:t xml:space="preserve">ive all authors’ names; do not use “et al.” unless there are six authors or more. Use a space after authors’ initials. </w:t>
      </w:r>
      <w:r w:rsidR="003C0D9D">
        <w:t xml:space="preserve">Only cite papers that </w:t>
      </w:r>
      <w:r>
        <w:t xml:space="preserve">have been </w:t>
      </w:r>
      <w:r w:rsidR="003C0D9D">
        <w:t>published or are in-press</w:t>
      </w:r>
      <w:r>
        <w:t>. Papers that have been accepted for publication should be cited as “</w:t>
      </w:r>
      <w:r w:rsidR="00DB4EA5">
        <w:t>accepted</w:t>
      </w:r>
      <w:r>
        <w:t xml:space="preserve"> for publication” [</w:t>
      </w:r>
      <w:r w:rsidR="003C0D9D">
        <w:t>4</w:t>
      </w:r>
      <w:r>
        <w:t>]. Please give affiliations and addresses for personal communications [</w:t>
      </w:r>
      <w:r w:rsidR="003C0D9D">
        <w:t>5</w:t>
      </w:r>
      <w:r>
        <w:t>].</w:t>
      </w:r>
    </w:p>
    <w:p w:rsidR="00D663D6" w:rsidRDefault="00D663D6">
      <w:pPr>
        <w:pStyle w:val="Text"/>
        <w:ind w:firstLine="144"/>
      </w:pPr>
      <w:r>
        <w:t>Capitalize only the first word in a paper title, except for proper nouns and element symbols. For papers published in translation journals, please give the English citation first, followed by the original foreign-language citation [</w:t>
      </w:r>
      <w:r w:rsidR="003C0D9D">
        <w:t>6</w:t>
      </w:r>
      <w:r>
        <w:t>].</w:t>
      </w:r>
    </w:p>
    <w:p w:rsidR="00D663D6" w:rsidRDefault="00D663D6">
      <w:pPr>
        <w:pStyle w:val="Ttulo2"/>
      </w:pPr>
      <w:r>
        <w:t>Abbreviations and Acronyms</w:t>
      </w:r>
    </w:p>
    <w:p w:rsidR="00D663D6" w:rsidRDefault="00D663D6">
      <w:pPr>
        <w:pStyle w:val="Text"/>
        <w:rPr>
          <w:rFonts w:ascii="Courier New" w:eastAsia="Batang" w:hAnsi="Courier New" w:cs="Courier New"/>
          <w:lang w:eastAsia="ko-KR"/>
        </w:rPr>
      </w:pPr>
      <w:r>
        <w:t xml:space="preserve">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 For a more complete listing of common abbreviations and acronyms please refer to Appendix II of </w:t>
      </w:r>
      <w:hyperlink r:id="rId15" w:history="1">
        <w:r w:rsidRPr="001E7B2F">
          <w:rPr>
            <w:rStyle w:val="Hipervnculo"/>
            <w:rFonts w:eastAsia="Batang"/>
          </w:rPr>
          <w:t>http://www.ieee.org/portal/cms_docs/pubs/transactions/auinfo03.pdf</w:t>
        </w:r>
      </w:hyperlink>
      <w:r w:rsidRPr="001E7B2F">
        <w:rPr>
          <w:rFonts w:ascii="Courier New" w:eastAsia="Batang" w:hAnsi="Courier New" w:cs="Courier New"/>
          <w:color w:val="0000FF"/>
          <w:lang w:eastAsia="ko-KR"/>
        </w:rPr>
        <w:t>.</w:t>
      </w:r>
    </w:p>
    <w:p w:rsidR="00D663D6" w:rsidRDefault="00D663D6">
      <w:pPr>
        <w:pStyle w:val="Ttulo2"/>
      </w:pPr>
      <w:r>
        <w:t>Equations</w:t>
      </w:r>
    </w:p>
    <w:p w:rsidR="00D663D6" w:rsidRDefault="00D663D6">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w:t>
      </w:r>
      <w:r>
        <w:lastRenderedPageBreak/>
        <w:t>appropriate exponents. Use parentheses to avoid ambiguities in denominators. Punctuate equations when they are part of a sentence, as in</w:t>
      </w:r>
    </w:p>
    <w:p w:rsidR="00D663D6" w:rsidRDefault="00D663D6">
      <w:pPr>
        <w:pStyle w:val="Text"/>
      </w:pPr>
    </w:p>
    <w:p w:rsidR="00D663D6" w:rsidRDefault="00D663D6">
      <w:pPr>
        <w:pStyle w:val="Equation"/>
      </w:pPr>
      <w:r>
        <w:rPr>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45.75pt" o:ole="" fillcolor="window">
            <v:imagedata r:id="rId16" o:title=""/>
          </v:shape>
          <o:OLEObject Type="Embed" ProgID="Equation.DSMT4" ShapeID="_x0000_i1025" DrawAspect="Content" ObjectID="_1429471892" r:id="rId17"/>
        </w:object>
      </w:r>
      <w:r>
        <w:tab/>
        <w:t>(1)</w:t>
      </w:r>
    </w:p>
    <w:p w:rsidR="00D663D6" w:rsidRDefault="00D663D6"/>
    <w:p w:rsidR="00D663D6" w:rsidRDefault="00D663D6">
      <w:pPr>
        <w:pStyle w:val="Text"/>
      </w:pPr>
      <w:r>
        <w:t>Be sure that the symbols in your equation have been defined before the equation appears or immediately following. Italicize symbols. Refer to “(1),” not “Eq. (1)” or “equation (1),” except at the beginning of a sentence: “Equation (1) is ... .”</w:t>
      </w:r>
    </w:p>
    <w:p w:rsidR="00D663D6" w:rsidRDefault="00D663D6">
      <w:pPr>
        <w:pStyle w:val="Ttulo2"/>
      </w:pPr>
      <w:r>
        <w:t>Other Recommendations</w:t>
      </w:r>
    </w:p>
    <w:p w:rsidR="00D663D6" w:rsidRDefault="00D663D6">
      <w:pPr>
        <w:pStyle w:val="Text"/>
      </w:pPr>
      <w:r>
        <w:t xml:space="preserve">Use one space after periods and colons. Hyphenate complex modifiers: “zero-field-cooled magnetization.” Avoid dangling participles, such as, “Using (1), the potential was calculated.”  [It is not clear who or what used (1).] Write instead, “The potential was calculated by using (1),” or “Using (1), </w:t>
      </w:r>
      <w:r w:rsidR="00A52D93">
        <w:t xml:space="preserve">the </w:t>
      </w:r>
      <w:r>
        <w:t>potential</w:t>
      </w:r>
      <w:r w:rsidR="00A52D93">
        <w:t xml:space="preserve"> was calculated ..</w:t>
      </w:r>
      <w:r>
        <w:t>.”</w:t>
      </w:r>
    </w:p>
    <w:p w:rsidR="00D663D6" w:rsidRDefault="00D663D6">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“Mb/s” or “megabits per second,” not “megabits/s.” When expressing a range of values, write “7 to 9” or “7-9,” not “7~9.”</w:t>
      </w:r>
    </w:p>
    <w:p w:rsidR="00D663D6" w:rsidRDefault="00D663D6">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D663D6" w:rsidRPr="000A61B1" w:rsidRDefault="00D663D6">
      <w:pPr>
        <w:pStyle w:val="Text"/>
      </w:pPr>
      <w:r w:rsidRPr="000A61B1">
        <w:rPr>
          <w:i/>
        </w:rPr>
        <w:t xml:space="preserve">Remember to check spelling. If your native language is not English, please get a native English-speaking colleague to proofread your paper. </w:t>
      </w:r>
      <w:r w:rsidR="000A61B1">
        <w:t>Many papers are rejected for poor use of the English language or simple spelling errors.</w:t>
      </w:r>
    </w:p>
    <w:p w:rsidR="00D663D6" w:rsidRDefault="00D663D6">
      <w:pPr>
        <w:pStyle w:val="Text"/>
      </w:pPr>
      <w:r>
        <w:t xml:space="preserve">Additional guides and suggestions may be found at </w:t>
      </w:r>
      <w:hyperlink r:id="rId18" w:history="1">
        <w:r w:rsidR="00AD75EE" w:rsidRPr="00670978">
          <w:rPr>
            <w:rStyle w:val="Hipervnculo"/>
          </w:rPr>
          <w:t>http://www.icce.org/authors_page/14steps.pdf</w:t>
        </w:r>
      </w:hyperlink>
      <w:r w:rsidR="00AD75EE">
        <w:t xml:space="preserve"> </w:t>
      </w:r>
    </w:p>
    <w:p w:rsidR="00D663D6" w:rsidRDefault="00D663D6" w:rsidP="00DF566D">
      <w:pPr>
        <w:pStyle w:val="Ttulo1"/>
      </w:pPr>
      <w:r>
        <w:t>Some Common Mistakes</w:t>
      </w:r>
    </w:p>
    <w:p w:rsidR="00D663D6" w:rsidRDefault="00D663D6">
      <w:pPr>
        <w:pStyle w:val="Text"/>
      </w:pPr>
      <w:r>
        <w:t xml:space="preserve">The word “data” is plural, not singular.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t>
      </w:r>
    </w:p>
    <w:p w:rsidR="00D663D6" w:rsidRDefault="00D663D6">
      <w:pPr>
        <w:pStyle w:val="Text"/>
      </w:pPr>
      <w:r>
        <w:t xml:space="preserve">Be aware of the different meanings of the homophones </w:t>
      </w:r>
      <w:r>
        <w:lastRenderedPageBreak/>
        <w:t xml:space="preserve">“affect” (usually a verb) and “effect” (usually a noun), “complement” and “compliment,” “discreet” and “discrete,” “principal” (e.g., “principal investigator”) and “principle” (e.g., “principle of measurement”). Do not confuse “imply” and “infer.” </w:t>
      </w:r>
    </w:p>
    <w:p w:rsidR="00D663D6" w:rsidRDefault="00D663D6">
      <w:pPr>
        <w:pStyle w:val="Text"/>
      </w:pPr>
      <w:r>
        <w:t xml:space="preserve">Prefixes such as “non,” “sub,” “micro,” and “ultra” are not independent words; they should be joined to the words they modify, usually without a hyphen. There is no period after the “et” in the Latin abbreviation “et al.” The abbreviation “i.e.” means “that is,” and the abbreviation “e.g.” means “for example.” </w:t>
      </w:r>
    </w:p>
    <w:p w:rsidR="00D663D6" w:rsidRDefault="00D663D6">
      <w:pPr>
        <w:pStyle w:val="Text"/>
      </w:pPr>
      <w:r>
        <w:t xml:space="preserve">An excellent style manual and source of information for science writers is [8]. A general IEEE style guide, </w:t>
      </w:r>
      <w:r>
        <w:rPr>
          <w:i/>
        </w:rPr>
        <w:t>Information for Authors,</w:t>
      </w:r>
      <w:r>
        <w:t xml:space="preserve"> is available at:</w:t>
      </w:r>
    </w:p>
    <w:p w:rsidR="00D663D6" w:rsidRDefault="00F27FDA">
      <w:pPr>
        <w:pStyle w:val="Text"/>
        <w:ind w:firstLine="0"/>
      </w:pPr>
      <w:hyperlink r:id="rId19" w:history="1">
        <w:r w:rsidR="005E2060">
          <w:rPr>
            <w:rStyle w:val="Hipervnculo"/>
            <w:rFonts w:eastAsia="Batang"/>
          </w:rPr>
          <w:t>http://www.ieee.org/portal/cms_docs/pubs/transactions/auinfo03.pdf</w:t>
        </w:r>
      </w:hyperlink>
      <w:r w:rsidR="00D663D6">
        <w:t xml:space="preserve">. </w:t>
      </w:r>
    </w:p>
    <w:p w:rsidR="00D663D6" w:rsidRDefault="00D663D6" w:rsidP="00DF566D">
      <w:pPr>
        <w:pStyle w:val="Ttulo1"/>
      </w:pPr>
      <w:r>
        <w:t>Conclusion</w:t>
      </w:r>
    </w:p>
    <w:p w:rsidR="00D663D6" w:rsidRDefault="00D663D6">
      <w:pPr>
        <w:pStyle w:val="Text"/>
      </w:pPr>
      <w:r>
        <w:t xml:space="preserve">Although a conclusion may review the main points of the paper, do not replicate the abstract as the conclusion. A conclusion might elaborate on the importance of the work or suggest applications and extensions. </w:t>
      </w:r>
    </w:p>
    <w:p w:rsidR="00D663D6" w:rsidRDefault="00D663D6">
      <w:pPr>
        <w:pStyle w:val="ReferenceHead"/>
      </w:pPr>
      <w:r>
        <w:t>Appendix</w:t>
      </w:r>
    </w:p>
    <w:p w:rsidR="00D663D6" w:rsidRDefault="00D663D6">
      <w:pPr>
        <w:pStyle w:val="Text"/>
      </w:pPr>
      <w:r>
        <w:t xml:space="preserve">Appendices, if needed, appear before the </w:t>
      </w:r>
      <w:r w:rsidR="00266D48">
        <w:t>A</w:t>
      </w:r>
      <w:r>
        <w:t>cknowledgment.</w:t>
      </w:r>
    </w:p>
    <w:p w:rsidR="00D663D6" w:rsidRDefault="00D663D6">
      <w:pPr>
        <w:pStyle w:val="ReferenceHead"/>
      </w:pPr>
      <w:r>
        <w:t>Acknowledgment</w:t>
      </w:r>
    </w:p>
    <w:p w:rsidR="00D663D6" w:rsidRDefault="00D663D6">
      <w:pPr>
        <w:pStyle w:val="Text"/>
      </w:pPr>
      <w:r>
        <w:t>The preferred spelling of the word “acknowledgment” in American English is without an “e” after the “g.” Use the singular heading even if you have many acknowledgments. Avoid expressions such as “One of us (S.B.A.) would like to thank ... .” Instead, write “S.B.A. thanks ... .” Put sponsor acknowledgments</w:t>
      </w:r>
      <w:r w:rsidR="000A61B1">
        <w:t xml:space="preserve">, if any, </w:t>
      </w:r>
      <w:r>
        <w:t>in the footnote on the first page.</w:t>
      </w:r>
    </w:p>
    <w:p w:rsidR="00D663D6" w:rsidRDefault="00D663D6">
      <w:pPr>
        <w:pStyle w:val="ReferenceHead"/>
      </w:pPr>
      <w:r>
        <w:t>References</w:t>
      </w:r>
    </w:p>
    <w:p w:rsidR="004C4841" w:rsidRPr="004C4841" w:rsidRDefault="004C4841" w:rsidP="004C4841">
      <w:pPr>
        <w:pStyle w:val="ReferenceHead"/>
        <w:jc w:val="both"/>
        <w:rPr>
          <w:b w:val="0"/>
          <w:i/>
          <w:smallCaps w:val="0"/>
          <w:sz w:val="16"/>
          <w:szCs w:val="16"/>
        </w:rPr>
      </w:pPr>
      <w:r>
        <w:rPr>
          <w:b w:val="0"/>
          <w:i/>
          <w:sz w:val="16"/>
          <w:szCs w:val="16"/>
        </w:rPr>
        <w:t>N</w:t>
      </w:r>
      <w:r>
        <w:rPr>
          <w:b w:val="0"/>
          <w:i/>
          <w:smallCaps w:val="0"/>
          <w:sz w:val="16"/>
          <w:szCs w:val="16"/>
        </w:rPr>
        <w:t>ote: Internet websites are not permitted as references in archival publications because they are subject to change</w:t>
      </w:r>
      <w:r w:rsidR="00666EBF">
        <w:rPr>
          <w:b w:val="0"/>
          <w:i/>
          <w:smallCaps w:val="0"/>
          <w:sz w:val="16"/>
          <w:szCs w:val="16"/>
        </w:rPr>
        <w:t>. (Make sure this sentence is removed from the submitted paper.)</w:t>
      </w:r>
      <w:r w:rsidR="00AD75EE">
        <w:rPr>
          <w:b w:val="0"/>
          <w:i/>
          <w:smallCaps w:val="0"/>
          <w:sz w:val="16"/>
          <w:szCs w:val="16"/>
        </w:rPr>
        <w:t xml:space="preserve"> Authors need to use the format and style of the reference</w:t>
      </w:r>
      <w:r w:rsidR="00CD1EC7">
        <w:rPr>
          <w:b w:val="0"/>
          <w:i/>
          <w:smallCaps w:val="0"/>
          <w:sz w:val="16"/>
          <w:szCs w:val="16"/>
        </w:rPr>
        <w:t xml:space="preserve"> list</w:t>
      </w:r>
      <w:r w:rsidR="00AD75EE">
        <w:rPr>
          <w:b w:val="0"/>
          <w:i/>
          <w:smallCaps w:val="0"/>
          <w:sz w:val="16"/>
          <w:szCs w:val="16"/>
        </w:rPr>
        <w:t xml:space="preserve"> </w:t>
      </w:r>
      <w:r w:rsidR="00714C55">
        <w:rPr>
          <w:b w:val="0"/>
          <w:i/>
          <w:smallCaps w:val="0"/>
          <w:sz w:val="16"/>
          <w:szCs w:val="16"/>
        </w:rPr>
        <w:t xml:space="preserve">exactly </w:t>
      </w:r>
      <w:r w:rsidR="00AD75EE">
        <w:rPr>
          <w:b w:val="0"/>
          <w:i/>
          <w:smallCaps w:val="0"/>
          <w:sz w:val="16"/>
          <w:szCs w:val="16"/>
        </w:rPr>
        <w:t>as:</w:t>
      </w:r>
    </w:p>
    <w:p w:rsidR="00D663D6" w:rsidRDefault="00D663D6">
      <w:pPr>
        <w:pStyle w:val="References"/>
        <w:keepLines/>
      </w:pPr>
      <w:r>
        <w:t>A. Vetro, H. Sun, P. DaGraca, and T. Poon, “Minimum drift architectures for three-layer scalable DTV decoding</w:t>
      </w:r>
      <w:r>
        <w:rPr>
          <w:i/>
        </w:rPr>
        <w:t>,” IEEE Trans. Consumer Electron.,</w:t>
      </w:r>
      <w:r>
        <w:t xml:space="preserve"> vol. 44, no. 3, pp. 527-536, Aug. 1998.</w:t>
      </w:r>
    </w:p>
    <w:p w:rsidR="00D663D6" w:rsidRDefault="00D663D6">
      <w:pPr>
        <w:pStyle w:val="References"/>
        <w:keepLines/>
      </w:pPr>
      <w:r>
        <w:t xml:space="preserve">A. N. Netravali and B. G. Haskell, </w:t>
      </w:r>
      <w:r>
        <w:rPr>
          <w:i/>
          <w:iCs/>
        </w:rPr>
        <w:t>Di</w:t>
      </w:r>
      <w:r>
        <w:rPr>
          <w:i/>
        </w:rPr>
        <w:t>gital Pictures,</w:t>
      </w:r>
      <w:r>
        <w:t xml:space="preserve"> 2nd ed., Plenum Press: </w:t>
      </w:r>
      <w:smartTag w:uri="urn:schemas-microsoft-com:office:smarttags" w:element="place">
        <w:smartTag w:uri="urn:schemas-microsoft-com:office:smarttags" w:element="State">
          <w:r>
            <w:t>New York</w:t>
          </w:r>
        </w:smartTag>
      </w:smartTag>
      <w:r>
        <w:t>, 1995, pp. 613-651.</w:t>
      </w:r>
    </w:p>
    <w:p w:rsidR="00D663D6" w:rsidRDefault="00D663D6">
      <w:pPr>
        <w:pStyle w:val="References"/>
        <w:keepLines/>
      </w:pPr>
      <w:r>
        <w:t xml:space="preserve">H. Sun, W. Kwok, and J. Zdepski, “Architectures for MPEG compressed bitstream scaling,” </w:t>
      </w:r>
      <w:r>
        <w:rPr>
          <w:i/>
          <w:iCs/>
        </w:rPr>
        <w:t>IEEE Trans. Circuits Syst. Video Technol.</w:t>
      </w:r>
      <w:r>
        <w:t>, vol. 6, no. 2, pp. 191-199, Apr. 1996.</w:t>
      </w:r>
    </w:p>
    <w:p w:rsidR="00D663D6" w:rsidRDefault="00D663D6">
      <w:pPr>
        <w:pStyle w:val="References"/>
        <w:keepLines/>
      </w:pPr>
      <w:r>
        <w:t>R. Nicole, “Title of paper with only first word capitalized,”</w:t>
      </w:r>
      <w:r w:rsidR="008E5B9F">
        <w:t xml:space="preserve"> </w:t>
      </w:r>
      <w:r w:rsidR="00DB4EA5">
        <w:t>accepted</w:t>
      </w:r>
      <w:r>
        <w:t xml:space="preserve"> for publication</w:t>
      </w:r>
      <w:r w:rsidR="00B04A09">
        <w:t xml:space="preserve"> in IEEE Trans. Broadcast Technology</w:t>
      </w:r>
      <w:r>
        <w:t>.</w:t>
      </w:r>
    </w:p>
    <w:p w:rsidR="00D663D6" w:rsidRDefault="00D663D6">
      <w:pPr>
        <w:pStyle w:val="References"/>
        <w:keepLines/>
      </w:pPr>
      <w:r>
        <w:t>C. J. Kaufman, Rocky Mountain Research Laboratories, Boulder, CO, personal communication, 1992.</w:t>
      </w:r>
    </w:p>
    <w:p w:rsidR="00D663D6" w:rsidRDefault="00D663D6" w:rsidP="00DB4EA5">
      <w:pPr>
        <w:pStyle w:val="References"/>
        <w:keepLines/>
      </w:pPr>
      <w:r>
        <w:t xml:space="preserve">Y. Yorozu, M. Hirano, K. Oka, and Y. Tagawa, “Electron spectroscopy studies on magneto-optical media and plastic substrate interface,” </w:t>
      </w:r>
      <w:r>
        <w:rPr>
          <w:i/>
        </w:rPr>
        <w:t>IEEE Transl. J. Magn. Jpn.,</w:t>
      </w:r>
      <w:r>
        <w:t xml:space="preserve"> vol. 2, pp. 740-741, August 1987 [</w:t>
      </w:r>
      <w:r>
        <w:rPr>
          <w:i/>
        </w:rPr>
        <w:t>Dig. 9th Annual Conf. Magn. Jpn.,</w:t>
      </w:r>
      <w:r>
        <w:t xml:space="preserve"> p. 301, 1982].</w:t>
      </w:r>
    </w:p>
    <w:p w:rsidR="00DB4EA5" w:rsidRDefault="00DB4EA5" w:rsidP="00DB4EA5">
      <w:pPr>
        <w:pStyle w:val="References"/>
        <w:keepLines/>
        <w:numPr>
          <w:ilvl w:val="0"/>
          <w:numId w:val="0"/>
        </w:numPr>
      </w:pPr>
    </w:p>
    <w:p w:rsidR="00D663D6" w:rsidRDefault="00D663D6">
      <w:pPr>
        <w:pStyle w:val="References"/>
        <w:numPr>
          <w:ilvl w:val="0"/>
          <w:numId w:val="0"/>
        </w:numPr>
        <w:ind w:left="360" w:hanging="360"/>
      </w:pPr>
    </w:p>
    <w:p w:rsidR="00D663D6" w:rsidRDefault="00D663D6">
      <w:pPr>
        <w:pStyle w:val="References"/>
        <w:numPr>
          <w:ilvl w:val="0"/>
          <w:numId w:val="0"/>
        </w:numPr>
        <w:rPr>
          <w:i/>
        </w:rPr>
      </w:pPr>
      <w:r>
        <w:rPr>
          <w:i/>
        </w:rPr>
        <w:t xml:space="preserve">Note: It is </w:t>
      </w:r>
      <w:r w:rsidR="002F78F6">
        <w:rPr>
          <w:i/>
        </w:rPr>
        <w:t xml:space="preserve">required </w:t>
      </w:r>
      <w:r>
        <w:rPr>
          <w:i/>
        </w:rPr>
        <w:t xml:space="preserve">that </w:t>
      </w:r>
      <w:r>
        <w:rPr>
          <w:i/>
          <w:u w:val="single"/>
        </w:rPr>
        <w:t>all</w:t>
      </w:r>
      <w:r>
        <w:rPr>
          <w:i/>
        </w:rPr>
        <w:t xml:space="preserve"> authors provide a brief biography</w:t>
      </w:r>
      <w:r w:rsidR="002F78F6">
        <w:rPr>
          <w:i/>
        </w:rPr>
        <w:t xml:space="preserve"> with a requested </w:t>
      </w:r>
      <w:r>
        <w:rPr>
          <w:i/>
        </w:rPr>
        <w:t xml:space="preserve">photo. The picture </w:t>
      </w:r>
      <w:r>
        <w:rPr>
          <w:iCs/>
        </w:rPr>
        <w:t>layout</w:t>
      </w:r>
      <w:r>
        <w:rPr>
          <w:i/>
        </w:rPr>
        <w:t xml:space="preserve"> is formatted such that text wraps “square” and to the right. </w:t>
      </w:r>
      <w:r w:rsidR="004C4841">
        <w:rPr>
          <w:i/>
        </w:rPr>
        <w:t xml:space="preserve">Author </w:t>
      </w:r>
      <w:r w:rsidR="004C4841" w:rsidRPr="004C4841">
        <w:rPr>
          <w:i/>
          <w:u w:val="single"/>
        </w:rPr>
        <w:t>photos</w:t>
      </w:r>
      <w:r w:rsidR="004C4841">
        <w:rPr>
          <w:i/>
        </w:rPr>
        <w:t xml:space="preserve"> are not </w:t>
      </w:r>
      <w:r w:rsidR="002F78F6">
        <w:rPr>
          <w:i/>
        </w:rPr>
        <w:t>mandatory</w:t>
      </w:r>
      <w:r w:rsidR="004C4841">
        <w:rPr>
          <w:i/>
        </w:rPr>
        <w:t>, but empty boxes where photos would be inserted are not allowed</w:t>
      </w:r>
      <w:r w:rsidR="002F78F6">
        <w:rPr>
          <w:i/>
        </w:rPr>
        <w:t xml:space="preserve"> and in such cases delete the photobox</w:t>
      </w:r>
      <w:r w:rsidR="004C4841">
        <w:rPr>
          <w:i/>
        </w:rPr>
        <w:t xml:space="preserve">. </w:t>
      </w:r>
      <w:r>
        <w:rPr>
          <w:i/>
        </w:rPr>
        <w:t xml:space="preserve">Please follow </w:t>
      </w:r>
      <w:r>
        <w:rPr>
          <w:i/>
        </w:rPr>
        <w:lastRenderedPageBreak/>
        <w:t>the following example for the first author:</w:t>
      </w:r>
      <w:r w:rsidR="002F78F6">
        <w:rPr>
          <w:i/>
        </w:rPr>
        <w:t xml:space="preserve"> </w:t>
      </w:r>
      <w:r w:rsidR="002F78F6" w:rsidRPr="002F78F6">
        <w:rPr>
          <w:i/>
        </w:rPr>
        <w:t>(</w:t>
      </w:r>
      <w:r w:rsidR="002F78F6">
        <w:rPr>
          <w:i/>
        </w:rPr>
        <w:t>m</w:t>
      </w:r>
      <w:r w:rsidR="002F78F6" w:rsidRPr="002F78F6">
        <w:rPr>
          <w:i/>
        </w:rPr>
        <w:t xml:space="preserve">ake sure this </w:t>
      </w:r>
      <w:r w:rsidR="002F78F6">
        <w:rPr>
          <w:i/>
        </w:rPr>
        <w:t>paragraph</w:t>
      </w:r>
      <w:r w:rsidR="002F78F6" w:rsidRPr="002F78F6">
        <w:rPr>
          <w:i/>
        </w:rPr>
        <w:t xml:space="preserve"> is r</w:t>
      </w:r>
      <w:r w:rsidR="002F78F6">
        <w:rPr>
          <w:i/>
        </w:rPr>
        <w:t>emoved from the submitted paper</w:t>
      </w:r>
      <w:r w:rsidR="002F78F6" w:rsidRPr="002F78F6">
        <w:rPr>
          <w:i/>
        </w:rPr>
        <w:t>)</w:t>
      </w:r>
    </w:p>
    <w:p w:rsidR="00266D48" w:rsidRDefault="00266D48">
      <w:pPr>
        <w:pStyle w:val="References"/>
        <w:numPr>
          <w:ilvl w:val="0"/>
          <w:numId w:val="0"/>
        </w:numPr>
        <w:rPr>
          <w:i/>
        </w:rPr>
      </w:pPr>
    </w:p>
    <w:p w:rsidR="00266D48" w:rsidRDefault="00266D48" w:rsidP="00266D48">
      <w:pPr>
        <w:pStyle w:val="References"/>
        <w:numPr>
          <w:ilvl w:val="0"/>
          <w:numId w:val="0"/>
        </w:numPr>
        <w:jc w:val="center"/>
        <w:rPr>
          <w:b/>
          <w:smallCaps/>
          <w:sz w:val="20"/>
        </w:rPr>
      </w:pPr>
      <w:r>
        <w:rPr>
          <w:b/>
          <w:smallCaps/>
          <w:sz w:val="20"/>
        </w:rPr>
        <w:t>biographies</w:t>
      </w:r>
    </w:p>
    <w:p w:rsidR="00D663D6" w:rsidRDefault="00D663D6">
      <w:pPr>
        <w:pStyle w:val="References"/>
        <w:numPr>
          <w:ilvl w:val="0"/>
          <w:numId w:val="0"/>
        </w:numPr>
        <w:rPr>
          <w:i/>
        </w:rPr>
      </w:pPr>
    </w:p>
    <w:p w:rsidR="00D663D6" w:rsidRDefault="0011665E">
      <w:pPr>
        <w:pStyle w:val="FigureCaption"/>
        <w:rPr>
          <w:b w:val="0"/>
          <w:bCs/>
        </w:rPr>
      </w:pPr>
      <w:r>
        <w:rPr>
          <w:noProof/>
          <w:sz w:val="20"/>
          <w:lang w:val="es-EC" w:eastAsia="es-EC"/>
        </w:rPr>
        <mc:AlternateContent>
          <mc:Choice Requires="wps">
            <w:drawing>
              <wp:anchor distT="0" distB="0" distL="114300" distR="114300" simplePos="0" relativeHeight="251657728" behindDoc="0" locked="0" layoutInCell="1" allowOverlap="0">
                <wp:simplePos x="0" y="0"/>
                <wp:positionH relativeFrom="column">
                  <wp:align>left</wp:align>
                </wp:positionH>
                <wp:positionV relativeFrom="paragraph">
                  <wp:posOffset>27305</wp:posOffset>
                </wp:positionV>
                <wp:extent cx="728980" cy="798195"/>
                <wp:effectExtent l="0" t="0" r="0" b="0"/>
                <wp:wrapSquare wrapText="right"/>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980" cy="798195"/>
                        </a:xfrm>
                        <a:prstGeom prst="rect">
                          <a:avLst/>
                        </a:prstGeom>
                        <a:solidFill>
                          <a:srgbClr val="FFFFFF"/>
                        </a:solidFill>
                        <a:ln w="9525">
                          <a:solidFill>
                            <a:srgbClr val="000000"/>
                          </a:solidFill>
                          <a:miter lim="800000"/>
                          <a:headEnd/>
                          <a:tailEnd/>
                        </a:ln>
                      </wps:spPr>
                      <wps:txbx>
                        <w:txbxContent>
                          <w:p w:rsidR="00666EBF" w:rsidRDefault="00666EBF">
                            <w:pPr>
                              <w:rPr>
                                <w:i/>
                              </w:rPr>
                            </w:pPr>
                            <w:r>
                              <w:rPr>
                                <w:i/>
                              </w:rPr>
                              <w:t>INSERT</w:t>
                            </w:r>
                          </w:p>
                          <w:p w:rsidR="00666EBF" w:rsidRDefault="00666EBF">
                            <w:pPr>
                              <w:rPr>
                                <w:i/>
                              </w:rPr>
                            </w:pPr>
                          </w:p>
                          <w:p w:rsidR="00666EBF" w:rsidRDefault="00666EBF">
                            <w:r>
                              <w:t xml:space="preserve">Author’s </w:t>
                            </w:r>
                          </w:p>
                          <w:p w:rsidR="00666EBF" w:rsidRPr="00B04A09" w:rsidRDefault="00666EBF">
                            <w:r>
                              <w:t xml:space="preserve">  Photo</w:t>
                            </w:r>
                          </w:p>
                          <w:p w:rsidR="00666EBF" w:rsidRDefault="00666EB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0;margin-top:2.15pt;width:57.4pt;height:62.85pt;z-index:25165772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" o:allowoverlap="f">
                <v:textbox>
                  <w:txbxContent>
                    <w:p w:rsidR="00666EBF" w:rsidRDefault="00666EBF">
                      <w:pPr>
                        <w:rPr>
                          <w:i/>
                        </w:rPr>
                      </w:pPr>
                      <w:r>
                        <w:rPr>
                          <w:i/>
                        </w:rPr>
                        <w:t>INSERT</w:t>
                      </w:r>
                    </w:p>
                    <w:p w:rsidR="00666EBF" w:rsidRDefault="00666EBF">
                      <w:pPr>
                        <w:rPr>
                          <w:i/>
                        </w:rPr>
                      </w:pPr>
                    </w:p>
                    <w:p w:rsidR="00666EBF" w:rsidRDefault="00666EBF">
                      <w:r>
                        <w:t xml:space="preserve">Author’s </w:t>
                      </w:r>
                    </w:p>
                    <w:p w:rsidR="00666EBF" w:rsidRPr="00B04A09" w:rsidRDefault="00666EBF">
                      <w:r>
                        <w:t xml:space="preserve">  Photo</w:t>
                      </w:r>
                    </w:p>
                    <w:p w:rsidR="00666EBF" w:rsidRDefault="00666EBF">
                      <w:pPr>
                        <w:jc w:val="center"/>
                      </w:pPr>
                    </w:p>
                  </w:txbxContent>
                </v:textbox>
                <w10:wrap type="square" side="right"/>
              </v:rect>
            </w:pict>
          </mc:Fallback>
        </mc:AlternateContent>
      </w:r>
      <w:r w:rsidR="00D663D6">
        <w:t xml:space="preserve">First A. Author </w:t>
      </w:r>
      <w:r w:rsidR="00D663D6">
        <w:rPr>
          <w:b w:val="0"/>
          <w:bCs/>
        </w:rPr>
        <w:t xml:space="preserve">(M’76-SM’81-F’87) and the other authors should include biographies at the end of the paper. This author became a Member (M) of IEEE in 1976, a Senior Member (SM) in 1981, and a Fellow (F) in 1987. Other usual biography information includes birth date and place, education, employments, and memberships in other professional societies. It is also appropriate to include research interests, professional activities and awards that have been received.  Copy and paste this </w:t>
      </w:r>
      <w:r w:rsidR="00D0320D">
        <w:rPr>
          <w:b w:val="0"/>
          <w:bCs/>
        </w:rPr>
        <w:t>paragraph</w:t>
      </w:r>
      <w:r w:rsidR="00D663D6">
        <w:rPr>
          <w:b w:val="0"/>
          <w:bCs/>
        </w:rPr>
        <w:t>, with picture,</w:t>
      </w:r>
      <w:r w:rsidR="00266D48">
        <w:rPr>
          <w:b w:val="0"/>
          <w:bCs/>
        </w:rPr>
        <w:t xml:space="preserve"> </w:t>
      </w:r>
      <w:r w:rsidR="00D663D6">
        <w:rPr>
          <w:b w:val="0"/>
          <w:bCs/>
        </w:rPr>
        <w:t>for additional authors.</w:t>
      </w:r>
    </w:p>
    <w:p w:rsidR="00D663D6" w:rsidRDefault="00D663D6">
      <w:pPr>
        <w:pStyle w:val="FigureCaption"/>
        <w:rPr>
          <w:b w:val="0"/>
          <w:bCs/>
        </w:rPr>
      </w:pPr>
    </w:p>
    <w:sectPr w:rsidR="00D663D6">
      <w:type w:val="continuous"/>
      <w:pgSz w:w="12240" w:h="15840" w:code="1"/>
      <w:pgMar w:top="1080" w:right="936" w:bottom="1008" w:left="936" w:header="720" w:footer="720"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FDA" w:rsidRDefault="00F27FDA">
      <w:r>
        <w:separator/>
      </w:r>
    </w:p>
  </w:endnote>
  <w:endnote w:type="continuationSeparator" w:id="0">
    <w:p w:rsidR="00F27FDA" w:rsidRDefault="00F2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FDA" w:rsidRDefault="00F27FDA"/>
  </w:footnote>
  <w:footnote w:type="continuationSeparator" w:id="0">
    <w:p w:rsidR="00F27FDA" w:rsidRDefault="00F27FDA">
      <w:r>
        <w:continuationSeparator/>
      </w:r>
    </w:p>
  </w:footnote>
  <w:footnote w:id="1">
    <w:p w:rsidR="00666EBF" w:rsidRDefault="00666EBF">
      <w:pPr>
        <w:pStyle w:val="Textonotapie"/>
      </w:pPr>
      <w:r>
        <w:rPr>
          <w:rStyle w:val="Refdenotaalpie"/>
        </w:rPr>
        <w:footnoteRef/>
      </w:r>
      <w:r>
        <w:t xml:space="preserve"> This work was supported in part by the U.S. Department of Commerce under Grant No. BS123456 (sponsor acknowledgment goes here). </w:t>
      </w:r>
    </w:p>
    <w:p w:rsidR="00666EBF" w:rsidRDefault="00666EBF">
      <w:pPr>
        <w:pStyle w:val="Textonotapie"/>
      </w:pPr>
      <w:r>
        <w:t xml:space="preserve">Paper titles should be written in uppercase and lowercase letters, not all uppercase. Avoid writing long formulas with subscripts in the title. Do </w:t>
      </w:r>
      <w:r w:rsidRPr="00F7764B">
        <w:rPr>
          <w:i/>
        </w:rPr>
        <w:t>not</w:t>
      </w:r>
      <w:r>
        <w:t xml:space="preserve"> write “(Invited)” in the title. Do </w:t>
      </w:r>
      <w:r w:rsidRPr="00F7764B">
        <w:rPr>
          <w:i/>
        </w:rPr>
        <w:t>not</w:t>
      </w:r>
      <w:r>
        <w:t xml:space="preserve"> begin a title with the word “On ... .” Full names of authors are preferred in the author field, but are not required. Put a space between authors’ initials. Do </w:t>
      </w:r>
      <w:r w:rsidRPr="00381D2F">
        <w:rPr>
          <w:i/>
        </w:rPr>
        <w:t>not</w:t>
      </w:r>
      <w:r>
        <w:t xml:space="preserve"> list author affiliation at the top of this page under the title. Do </w:t>
      </w:r>
      <w:r w:rsidRPr="00213C80">
        <w:rPr>
          <w:i/>
        </w:rPr>
        <w:t>not</w:t>
      </w:r>
      <w:r>
        <w:t xml:space="preserve"> enter correspondence author information.</w:t>
      </w:r>
      <w:r w:rsidR="00F7764B">
        <w:t xml:space="preserve"> </w:t>
      </w:r>
      <w:r w:rsidR="00E4236F">
        <w:t xml:space="preserve">There is </w:t>
      </w:r>
      <w:r w:rsidR="00E4236F" w:rsidRPr="00E4236F">
        <w:rPr>
          <w:i/>
        </w:rPr>
        <w:t>no</w:t>
      </w:r>
      <w:r w:rsidR="00E4236F">
        <w:t xml:space="preserve"> Manuscript Received Date. </w:t>
      </w:r>
      <w:r w:rsidR="00F7764B">
        <w:t>List each author (note more than 5 authors) separately as below:</w:t>
      </w:r>
    </w:p>
    <w:p w:rsidR="00666EBF" w:rsidRDefault="00666EBF">
      <w:pPr>
        <w:pStyle w:val="Textonotapie"/>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(e-mail: author@boulder.nist.gov). </w:t>
      </w:r>
    </w:p>
    <w:p w:rsidR="00666EBF" w:rsidRDefault="00666EBF">
      <w:pPr>
        <w:pStyle w:val="Textonotapie"/>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Ft. Collins, CO 80523 </w:t>
      </w:r>
      <w:smartTag w:uri="urn:schemas-microsoft-com:office:smarttags" w:element="place">
        <w:smartTag w:uri="urn:schemas-microsoft-com:office:smarttags" w:element="country-region">
          <w:r>
            <w:t>USA</w:t>
          </w:r>
        </w:smartTag>
      </w:smartTag>
      <w:r>
        <w:t xml:space="preserve"> (e-mail: author@lamar.colostate.edu).</w:t>
      </w:r>
    </w:p>
    <w:p w:rsidR="00666EBF" w:rsidRDefault="00666EBF">
      <w:pPr>
        <w:pStyle w:val="Textonotapie"/>
      </w:pPr>
      <w:r>
        <w:t>T. C. Author is with the Electrical Engineering Department, University of Colorado, Boulder, CO 80309 USA, on leave from the National Research Institute for Metals, Tsukuba, Japan (e-mail: author@nrim.go.jp).</w:t>
      </w:r>
    </w:p>
  </w:footnote>
  <w:footnote w:id="2">
    <w:p w:rsidR="00666EBF" w:rsidRDefault="00666EBF">
      <w:pPr>
        <w:pStyle w:val="Textonotapie"/>
      </w:pPr>
      <w:r>
        <w:rPr>
          <w:rStyle w:val="Refdenotaalpie"/>
        </w:rPr>
        <w:footnoteRef/>
      </w:r>
      <w:r>
        <w:t>It is recommended that footnotes be avoided. Instead, try to integrate the footnote information into the text wherever possible.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EBF" w:rsidRDefault="00666EB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A5F42AE"/>
    <w:multiLevelType w:val="multilevel"/>
    <w:tmpl w:val="9DF2F5E4"/>
    <w:lvl w:ilvl="0">
      <w:start w:val="1"/>
      <w:numFmt w:val="decimal"/>
      <w:lvlText w:val="%1."/>
      <w:lvlJc w:val="left"/>
      <w:pPr>
        <w:tabs>
          <w:tab w:val="num" w:pos="1124"/>
        </w:tabs>
        <w:ind w:left="1124" w:hanging="360"/>
      </w:pPr>
    </w:lvl>
    <w:lvl w:ilvl="1" w:tentative="1">
      <w:start w:val="1"/>
      <w:numFmt w:val="decimal"/>
      <w:lvlText w:val="%2."/>
      <w:lvlJc w:val="left"/>
      <w:pPr>
        <w:tabs>
          <w:tab w:val="num" w:pos="1844"/>
        </w:tabs>
        <w:ind w:left="1844" w:hanging="360"/>
      </w:pPr>
    </w:lvl>
    <w:lvl w:ilvl="2" w:tentative="1">
      <w:start w:val="1"/>
      <w:numFmt w:val="decimal"/>
      <w:lvlText w:val="%3."/>
      <w:lvlJc w:val="left"/>
      <w:pPr>
        <w:tabs>
          <w:tab w:val="num" w:pos="2564"/>
        </w:tabs>
        <w:ind w:left="2564" w:hanging="360"/>
      </w:pPr>
    </w:lvl>
    <w:lvl w:ilvl="3" w:tentative="1">
      <w:start w:val="1"/>
      <w:numFmt w:val="decimal"/>
      <w:lvlText w:val="%4."/>
      <w:lvlJc w:val="left"/>
      <w:pPr>
        <w:tabs>
          <w:tab w:val="num" w:pos="3284"/>
        </w:tabs>
        <w:ind w:left="3284" w:hanging="360"/>
      </w:pPr>
    </w:lvl>
    <w:lvl w:ilvl="4" w:tentative="1">
      <w:start w:val="1"/>
      <w:numFmt w:val="decimal"/>
      <w:lvlText w:val="%5."/>
      <w:lvlJc w:val="left"/>
      <w:pPr>
        <w:tabs>
          <w:tab w:val="num" w:pos="4004"/>
        </w:tabs>
        <w:ind w:left="4004" w:hanging="360"/>
      </w:pPr>
    </w:lvl>
    <w:lvl w:ilvl="5" w:tentative="1">
      <w:start w:val="1"/>
      <w:numFmt w:val="decimal"/>
      <w:lvlText w:val="%6."/>
      <w:lvlJc w:val="left"/>
      <w:pPr>
        <w:tabs>
          <w:tab w:val="num" w:pos="4724"/>
        </w:tabs>
        <w:ind w:left="4724" w:hanging="360"/>
      </w:pPr>
    </w:lvl>
    <w:lvl w:ilvl="6" w:tentative="1">
      <w:start w:val="1"/>
      <w:numFmt w:val="decimal"/>
      <w:lvlText w:val="%7."/>
      <w:lvlJc w:val="left"/>
      <w:pPr>
        <w:tabs>
          <w:tab w:val="num" w:pos="5444"/>
        </w:tabs>
        <w:ind w:left="5444" w:hanging="360"/>
      </w:pPr>
    </w:lvl>
    <w:lvl w:ilvl="7" w:tentative="1">
      <w:start w:val="1"/>
      <w:numFmt w:val="decimal"/>
      <w:lvlText w:val="%8."/>
      <w:lvlJc w:val="left"/>
      <w:pPr>
        <w:tabs>
          <w:tab w:val="num" w:pos="6164"/>
        </w:tabs>
        <w:ind w:left="6164" w:hanging="360"/>
      </w:pPr>
    </w:lvl>
    <w:lvl w:ilvl="8" w:tentative="1">
      <w:start w:val="1"/>
      <w:numFmt w:val="decimal"/>
      <w:lvlText w:val="%9."/>
      <w:lvlJc w:val="left"/>
      <w:pPr>
        <w:tabs>
          <w:tab w:val="num" w:pos="6884"/>
        </w:tabs>
        <w:ind w:left="6884" w:hanging="360"/>
      </w:pPr>
    </w:lvl>
  </w:abstractNum>
  <w:abstractNum w:abstractNumId="3">
    <w:nsid w:val="2DCB6FD3"/>
    <w:multiLevelType w:val="multilevel"/>
    <w:tmpl w:val="9DF2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90D72A4"/>
    <w:multiLevelType w:val="multilevel"/>
    <w:tmpl w:val="C0F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4F61084F"/>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abstractNum w:abstractNumId="12">
    <w:nsid w:val="7C7B4377"/>
    <w:multiLevelType w:val="hybridMultilevel"/>
    <w:tmpl w:val="EEB2E694"/>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8"/>
  </w:num>
  <w:num w:numId="16">
    <w:abstractNumId w:val="11"/>
  </w:num>
  <w:num w:numId="17">
    <w:abstractNumId w:val="9"/>
  </w:num>
  <w:num w:numId="18">
    <w:abstractNumId w:val="12"/>
  </w:num>
  <w:num w:numId="19">
    <w:abstractNumId w:val="3"/>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20D"/>
    <w:rsid w:val="00001FF6"/>
    <w:rsid w:val="0002052B"/>
    <w:rsid w:val="00021DE2"/>
    <w:rsid w:val="00023BBE"/>
    <w:rsid w:val="00031294"/>
    <w:rsid w:val="000A61B1"/>
    <w:rsid w:val="000B450C"/>
    <w:rsid w:val="000C3E96"/>
    <w:rsid w:val="000C4224"/>
    <w:rsid w:val="000F1F0B"/>
    <w:rsid w:val="000F64D2"/>
    <w:rsid w:val="000F65E2"/>
    <w:rsid w:val="001141A9"/>
    <w:rsid w:val="0011665E"/>
    <w:rsid w:val="0012073B"/>
    <w:rsid w:val="00133BB0"/>
    <w:rsid w:val="001428A3"/>
    <w:rsid w:val="00145F24"/>
    <w:rsid w:val="001A52AA"/>
    <w:rsid w:val="001A76C8"/>
    <w:rsid w:val="001D561D"/>
    <w:rsid w:val="001E7B2F"/>
    <w:rsid w:val="002135FB"/>
    <w:rsid w:val="00213C80"/>
    <w:rsid w:val="00217FCE"/>
    <w:rsid w:val="00243459"/>
    <w:rsid w:val="00266D48"/>
    <w:rsid w:val="00272969"/>
    <w:rsid w:val="002B3AB0"/>
    <w:rsid w:val="002C2DDA"/>
    <w:rsid w:val="002F78F6"/>
    <w:rsid w:val="00301E7B"/>
    <w:rsid w:val="00357639"/>
    <w:rsid w:val="00381D2F"/>
    <w:rsid w:val="003847B6"/>
    <w:rsid w:val="003B2A87"/>
    <w:rsid w:val="003B3184"/>
    <w:rsid w:val="003C0D9D"/>
    <w:rsid w:val="003C5BA3"/>
    <w:rsid w:val="003D082D"/>
    <w:rsid w:val="003E3F2E"/>
    <w:rsid w:val="00400AA1"/>
    <w:rsid w:val="004049B6"/>
    <w:rsid w:val="0046626B"/>
    <w:rsid w:val="00470958"/>
    <w:rsid w:val="004C4841"/>
    <w:rsid w:val="004C75A5"/>
    <w:rsid w:val="004D4B83"/>
    <w:rsid w:val="004E2136"/>
    <w:rsid w:val="004F0379"/>
    <w:rsid w:val="005265FE"/>
    <w:rsid w:val="00531D37"/>
    <w:rsid w:val="0054642B"/>
    <w:rsid w:val="005713AC"/>
    <w:rsid w:val="005B247F"/>
    <w:rsid w:val="005B3162"/>
    <w:rsid w:val="005E0F9D"/>
    <w:rsid w:val="005E2060"/>
    <w:rsid w:val="00617785"/>
    <w:rsid w:val="006433D0"/>
    <w:rsid w:val="00666EBF"/>
    <w:rsid w:val="006720EC"/>
    <w:rsid w:val="00696F7F"/>
    <w:rsid w:val="006F1DAE"/>
    <w:rsid w:val="006F22DC"/>
    <w:rsid w:val="00714C55"/>
    <w:rsid w:val="007253A6"/>
    <w:rsid w:val="00741BEE"/>
    <w:rsid w:val="00744AE1"/>
    <w:rsid w:val="00766B3C"/>
    <w:rsid w:val="0078267B"/>
    <w:rsid w:val="00786E4E"/>
    <w:rsid w:val="00797693"/>
    <w:rsid w:val="007D7F2E"/>
    <w:rsid w:val="007E01BA"/>
    <w:rsid w:val="007F1AF9"/>
    <w:rsid w:val="0080037B"/>
    <w:rsid w:val="00811F65"/>
    <w:rsid w:val="008339ED"/>
    <w:rsid w:val="008410BE"/>
    <w:rsid w:val="00842774"/>
    <w:rsid w:val="00844D77"/>
    <w:rsid w:val="00870708"/>
    <w:rsid w:val="008A5BAA"/>
    <w:rsid w:val="008B7D5E"/>
    <w:rsid w:val="008E2638"/>
    <w:rsid w:val="008E5B9F"/>
    <w:rsid w:val="00915534"/>
    <w:rsid w:val="009263CA"/>
    <w:rsid w:val="009331BE"/>
    <w:rsid w:val="00942451"/>
    <w:rsid w:val="009441DF"/>
    <w:rsid w:val="0095079A"/>
    <w:rsid w:val="00981986"/>
    <w:rsid w:val="00995CE7"/>
    <w:rsid w:val="009A4BC2"/>
    <w:rsid w:val="009D2AAE"/>
    <w:rsid w:val="00A22AC0"/>
    <w:rsid w:val="00A52D93"/>
    <w:rsid w:val="00A73F7B"/>
    <w:rsid w:val="00A765F0"/>
    <w:rsid w:val="00A84BE9"/>
    <w:rsid w:val="00A91B5E"/>
    <w:rsid w:val="00AA1C6F"/>
    <w:rsid w:val="00AC08D7"/>
    <w:rsid w:val="00AC56D8"/>
    <w:rsid w:val="00AD75EE"/>
    <w:rsid w:val="00AF0AA4"/>
    <w:rsid w:val="00B04A09"/>
    <w:rsid w:val="00B31824"/>
    <w:rsid w:val="00B3280A"/>
    <w:rsid w:val="00B420F5"/>
    <w:rsid w:val="00B71EBF"/>
    <w:rsid w:val="00B74756"/>
    <w:rsid w:val="00B84926"/>
    <w:rsid w:val="00B97E8D"/>
    <w:rsid w:val="00BB3407"/>
    <w:rsid w:val="00BC6B2A"/>
    <w:rsid w:val="00BE0615"/>
    <w:rsid w:val="00BE1602"/>
    <w:rsid w:val="00BF43B5"/>
    <w:rsid w:val="00C02B6F"/>
    <w:rsid w:val="00C1278C"/>
    <w:rsid w:val="00C33A2F"/>
    <w:rsid w:val="00C859D2"/>
    <w:rsid w:val="00CB22A2"/>
    <w:rsid w:val="00CD1EC7"/>
    <w:rsid w:val="00D01F09"/>
    <w:rsid w:val="00D0320D"/>
    <w:rsid w:val="00D663D6"/>
    <w:rsid w:val="00D70106"/>
    <w:rsid w:val="00D8426E"/>
    <w:rsid w:val="00DA5F36"/>
    <w:rsid w:val="00DB226F"/>
    <w:rsid w:val="00DB4EA5"/>
    <w:rsid w:val="00DC68A4"/>
    <w:rsid w:val="00DE1983"/>
    <w:rsid w:val="00DF566D"/>
    <w:rsid w:val="00E21310"/>
    <w:rsid w:val="00E22F3E"/>
    <w:rsid w:val="00E4236F"/>
    <w:rsid w:val="00E74E1C"/>
    <w:rsid w:val="00E85E05"/>
    <w:rsid w:val="00F16AA5"/>
    <w:rsid w:val="00F26377"/>
    <w:rsid w:val="00F26A1B"/>
    <w:rsid w:val="00F27FDA"/>
    <w:rsid w:val="00F60D60"/>
    <w:rsid w:val="00F62487"/>
    <w:rsid w:val="00F67941"/>
    <w:rsid w:val="00F7764B"/>
    <w:rsid w:val="00F835A7"/>
    <w:rsid w:val="00F95F71"/>
    <w:rsid w:val="00FD5A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2BA6EF86-61F2-4FA9-BA56-380A334A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numPr>
        <w:numId w:val="1"/>
      </w:numPr>
      <w:spacing w:before="240" w:after="80"/>
      <w:jc w:val="center"/>
      <w:outlineLvl w:val="0"/>
    </w:pPr>
    <w:rPr>
      <w:b/>
      <w:smallCaps/>
      <w:kern w:val="28"/>
    </w:rPr>
  </w:style>
  <w:style w:type="paragraph" w:styleId="Ttulo2">
    <w:name w:val="heading 2"/>
    <w:basedOn w:val="Normal"/>
    <w:next w:val="Normal"/>
    <w:qFormat/>
    <w:pPr>
      <w:keepNext/>
      <w:numPr>
        <w:ilvl w:val="1"/>
        <w:numId w:val="1"/>
      </w:numPr>
      <w:spacing w:before="120" w:after="60"/>
      <w:ind w:left="144"/>
      <w:outlineLvl w:val="1"/>
    </w:pPr>
    <w:rPr>
      <w:i/>
    </w:rPr>
  </w:style>
  <w:style w:type="paragraph" w:styleId="Ttulo3">
    <w:name w:val="heading 3"/>
    <w:basedOn w:val="Normal"/>
    <w:next w:val="Normal"/>
    <w:qFormat/>
    <w:pPr>
      <w:keepNext/>
      <w:numPr>
        <w:ilvl w:val="2"/>
        <w:numId w:val="1"/>
      </w:numPr>
      <w:ind w:left="288"/>
      <w:outlineLvl w:val="2"/>
    </w:pPr>
    <w:rPr>
      <w:i/>
    </w:rPr>
  </w:style>
  <w:style w:type="paragraph" w:styleId="Ttulo4">
    <w:name w:val="heading 4"/>
    <w:basedOn w:val="Normal"/>
    <w:next w:val="Normal"/>
    <w:qFormat/>
    <w:pPr>
      <w:keepNext/>
      <w:numPr>
        <w:ilvl w:val="3"/>
        <w:numId w:val="1"/>
      </w:numPr>
      <w:spacing w:before="240" w:after="60"/>
      <w:outlineLvl w:val="3"/>
    </w:pPr>
    <w:rPr>
      <w:i/>
      <w:sz w:val="18"/>
    </w:rPr>
  </w:style>
  <w:style w:type="paragraph" w:styleId="Ttulo5">
    <w:name w:val="heading 5"/>
    <w:basedOn w:val="Normal"/>
    <w:next w:val="Normal"/>
    <w:qFormat/>
    <w:pPr>
      <w:numPr>
        <w:ilvl w:val="4"/>
        <w:numId w:val="1"/>
      </w:numPr>
      <w:spacing w:before="240" w:after="60"/>
      <w:outlineLvl w:val="4"/>
    </w:pPr>
    <w:rPr>
      <w:sz w:val="18"/>
    </w:rPr>
  </w:style>
  <w:style w:type="paragraph" w:styleId="Ttulo6">
    <w:name w:val="heading 6"/>
    <w:basedOn w:val="Normal"/>
    <w:next w:val="Normal"/>
    <w:qFormat/>
    <w:pPr>
      <w:numPr>
        <w:ilvl w:val="5"/>
        <w:numId w:val="1"/>
      </w:numPr>
      <w:spacing w:before="240" w:after="60"/>
      <w:outlineLvl w:val="5"/>
    </w:pPr>
    <w:rPr>
      <w:i/>
      <w:sz w:val="16"/>
    </w:rPr>
  </w:style>
  <w:style w:type="paragraph" w:styleId="Ttulo7">
    <w:name w:val="heading 7"/>
    <w:basedOn w:val="Normal"/>
    <w:next w:val="Normal"/>
    <w:qFormat/>
    <w:pPr>
      <w:numPr>
        <w:ilvl w:val="6"/>
        <w:numId w:val="1"/>
      </w:numPr>
      <w:spacing w:before="240" w:after="60"/>
      <w:outlineLvl w:val="6"/>
    </w:pPr>
    <w:rPr>
      <w:sz w:val="16"/>
    </w:rPr>
  </w:style>
  <w:style w:type="paragraph" w:styleId="Ttulo8">
    <w:name w:val="heading 8"/>
    <w:basedOn w:val="Normal"/>
    <w:next w:val="Normal"/>
    <w:qFormat/>
    <w:pPr>
      <w:numPr>
        <w:ilvl w:val="7"/>
        <w:numId w:val="1"/>
      </w:numPr>
      <w:spacing w:before="240" w:after="60"/>
      <w:outlineLvl w:val="7"/>
    </w:pPr>
    <w:rPr>
      <w:i/>
      <w:sz w:val="16"/>
    </w:rPr>
  </w:style>
  <w:style w:type="paragraph" w:styleId="Ttulo9">
    <w:name w:val="heading 9"/>
    <w:basedOn w:val="Normal"/>
    <w:next w:val="Normal"/>
    <w:qFormat/>
    <w:pPr>
      <w:numPr>
        <w:ilvl w:val="8"/>
        <w:numId w:val="1"/>
      </w:numPr>
      <w:spacing w:before="240" w:after="60"/>
      <w:outlineLvl w:val="8"/>
    </w:pPr>
    <w:rPr>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sz w:val="18"/>
    </w:rPr>
  </w:style>
  <w:style w:type="paragraph" w:customStyle="1" w:styleId="Authors">
    <w:name w:val="Authors"/>
    <w:basedOn w:val="Normal"/>
    <w:next w:val="Normal"/>
    <w:pPr>
      <w:spacing w:before="120" w:after="320"/>
      <w:jc w:val="center"/>
    </w:pPr>
    <w:rPr>
      <w:sz w:val="22"/>
    </w:rPr>
  </w:style>
  <w:style w:type="character" w:customStyle="1" w:styleId="MemberType">
    <w:name w:val="MemberType"/>
    <w:rPr>
      <w:rFonts w:ascii="Times New Roman" w:hAnsi="Times New Roman"/>
      <w:i/>
      <w:sz w:val="22"/>
    </w:rPr>
  </w:style>
  <w:style w:type="paragraph" w:styleId="Puest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02"/>
      <w:jc w:val="both"/>
    </w:pPr>
    <w:rPr>
      <w:sz w:val="16"/>
    </w:rPr>
  </w:style>
  <w:style w:type="paragraph" w:customStyle="1" w:styleId="References">
    <w:name w:val="References"/>
    <w:basedOn w:val="Normal"/>
    <w:pPr>
      <w:numPr>
        <w:numId w:val="12"/>
      </w:numPr>
      <w:jc w:val="both"/>
    </w:pPr>
    <w:rPr>
      <w:sz w:val="16"/>
    </w:rPr>
  </w:style>
  <w:style w:type="paragraph" w:customStyle="1" w:styleId="IndexTerms">
    <w:name w:val="IndexTerms"/>
    <w:basedOn w:val="Normal"/>
    <w:next w:val="Normal"/>
    <w:pPr>
      <w:ind w:firstLine="202"/>
      <w:jc w:val="both"/>
    </w:pPr>
    <w:rPr>
      <w:b/>
      <w:sz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b/>
      <w:sz w:val="16"/>
    </w:rPr>
  </w:style>
  <w:style w:type="paragraph" w:customStyle="1" w:styleId="TableTitle">
    <w:name w:val="Table Title"/>
    <w:basedOn w:val="Normal"/>
    <w:pPr>
      <w:keepNext/>
      <w:jc w:val="center"/>
    </w:pPr>
    <w:rPr>
      <w:b/>
      <w:smallCaps/>
      <w:sz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Sangradetextonormal">
    <w:name w:val="Body Text Indent"/>
    <w:basedOn w:val="Normal"/>
    <w:pPr>
      <w:ind w:firstLine="180"/>
      <w:jc w:val="both"/>
    </w:pPr>
  </w:style>
  <w:style w:type="character" w:styleId="Hipervnculovisitado">
    <w:name w:val="FollowedHyperlink"/>
    <w:rPr>
      <w:color w:val="800080"/>
      <w:u w:val="single"/>
    </w:rPr>
  </w:style>
  <w:style w:type="paragraph" w:styleId="Textodeglobo">
    <w:name w:val="Balloon Text"/>
    <w:basedOn w:val="Normal"/>
    <w:semiHidden/>
    <w:rPr>
      <w:rFonts w:ascii="Tahoma" w:hAnsi="Tahoma" w:cs="Tahoma"/>
      <w:sz w:val="16"/>
      <w:szCs w:val="16"/>
    </w:rPr>
  </w:style>
  <w:style w:type="character" w:customStyle="1" w:styleId="AbstractText">
    <w:name w:val="Abstract Text"/>
    <w:rPr>
      <w:bCs/>
      <w:i/>
      <w:iCs/>
      <w:dstrike w:val="0"/>
      <w:sz w:val="20"/>
      <w:vertAlign w:val="baseline"/>
    </w:rPr>
  </w:style>
  <w:style w:type="character" w:styleId="nfasis">
    <w:name w:val="Emphasis"/>
    <w:qFormat/>
    <w:rsid w:val="00F83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867034">
      <w:bodyDiv w:val="1"/>
      <w:marLeft w:val="0"/>
      <w:marRight w:val="0"/>
      <w:marTop w:val="0"/>
      <w:marBottom w:val="0"/>
      <w:divBdr>
        <w:top w:val="none" w:sz="0" w:space="0" w:color="auto"/>
        <w:left w:val="none" w:sz="0" w:space="0" w:color="auto"/>
        <w:bottom w:val="none" w:sz="0" w:space="0" w:color="auto"/>
        <w:right w:val="none" w:sz="0" w:space="0" w:color="auto"/>
      </w:divBdr>
      <w:divsChild>
        <w:div w:id="1637686772">
          <w:marLeft w:val="1200"/>
          <w:marRight w:val="0"/>
          <w:marTop w:val="0"/>
          <w:marBottom w:val="0"/>
          <w:divBdr>
            <w:top w:val="none" w:sz="0" w:space="0" w:color="auto"/>
            <w:left w:val="none" w:sz="0" w:space="0" w:color="auto"/>
            <w:bottom w:val="none" w:sz="0" w:space="0" w:color="auto"/>
            <w:right w:val="none" w:sz="0" w:space="0" w:color="auto"/>
          </w:divBdr>
        </w:div>
        <w:div w:id="2090342444">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eee.org/portal/cms_docs/pubs/transactions/auinfo03.pdf" TargetMode="External"/><Relationship Id="rId18" Type="http://schemas.openxmlformats.org/officeDocument/2006/relationships/hyperlink" Target="http://www.icce.org/authors_page/14step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athtype.com/"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yne.luplow@zenith.com" TargetMode="External"/><Relationship Id="rId5" Type="http://schemas.openxmlformats.org/officeDocument/2006/relationships/webSettings" Target="webSettings.xml"/><Relationship Id="rId15" Type="http://schemas.openxmlformats.org/officeDocument/2006/relationships/hyperlink" Target="http://www.ieee.org/portal/cms_docs/pubs/transactions/auinfo03.pdf" TargetMode="External"/><Relationship Id="rId10" Type="http://schemas.openxmlformats.org/officeDocument/2006/relationships/hyperlink" Target="http://www.cloznet.com/ieee-ce/" TargetMode="External"/><Relationship Id="rId19" Type="http://schemas.openxmlformats.org/officeDocument/2006/relationships/hyperlink" Target="http://www.ieee.org/portal/cms_docs/pubs/transactions/auinfo03.pdf" TargetMode="External"/><Relationship Id="rId4" Type="http://schemas.openxmlformats.org/officeDocument/2006/relationships/settings" Target="settings.xml"/><Relationship Id="rId9" Type="http://schemas.openxmlformats.org/officeDocument/2006/relationships/hyperlink" Target="http://www.ewh.ieee.org/soc/ces/publications_trans_ce.html" TargetMode="External"/><Relationship Id="rId14"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CFC03-6B0C-4CD0-AB36-E30802E2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4496</Words>
  <Characters>24734</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T-CE template(May 2012)</vt:lpstr>
      <vt:lpstr>T-CE template(May 2012)</vt:lpstr>
    </vt:vector>
  </TitlesOfParts>
  <Company>Microsoft</Company>
  <LinksUpToDate>false</LinksUpToDate>
  <CharactersWithSpaces>29172</CharactersWithSpaces>
  <SharedDoc>false</SharedDoc>
  <HLinks>
    <vt:vector size="48" baseType="variant">
      <vt:variant>
        <vt:i4>6356998</vt:i4>
      </vt:variant>
      <vt:variant>
        <vt:i4>24</vt:i4>
      </vt:variant>
      <vt:variant>
        <vt:i4>0</vt:i4>
      </vt:variant>
      <vt:variant>
        <vt:i4>5</vt:i4>
      </vt:variant>
      <vt:variant>
        <vt:lpwstr>http://www.ieee.org/portal/cms_docs/pubs/transactions/auinfo03.pdf</vt:lpwstr>
      </vt:variant>
      <vt:variant>
        <vt:lpwstr/>
      </vt:variant>
      <vt:variant>
        <vt:i4>2359317</vt:i4>
      </vt:variant>
      <vt:variant>
        <vt:i4>21</vt:i4>
      </vt:variant>
      <vt:variant>
        <vt:i4>0</vt:i4>
      </vt:variant>
      <vt:variant>
        <vt:i4>5</vt:i4>
      </vt:variant>
      <vt:variant>
        <vt:lpwstr>http://www.icce.org/authors_page/14steps.pdf</vt:lpwstr>
      </vt:variant>
      <vt:variant>
        <vt:lpwstr/>
      </vt:variant>
      <vt:variant>
        <vt:i4>6356998</vt:i4>
      </vt:variant>
      <vt:variant>
        <vt:i4>15</vt:i4>
      </vt:variant>
      <vt:variant>
        <vt:i4>0</vt:i4>
      </vt:variant>
      <vt:variant>
        <vt:i4>5</vt:i4>
      </vt:variant>
      <vt:variant>
        <vt:lpwstr>http://www.ieee.org/portal/cms_docs/pubs/transactions/auinfo03.pdf</vt:lpwstr>
      </vt:variant>
      <vt:variant>
        <vt:lpwstr/>
      </vt:variant>
      <vt:variant>
        <vt:i4>6356998</vt:i4>
      </vt:variant>
      <vt:variant>
        <vt:i4>12</vt:i4>
      </vt:variant>
      <vt:variant>
        <vt:i4>0</vt:i4>
      </vt:variant>
      <vt:variant>
        <vt:i4>5</vt:i4>
      </vt:variant>
      <vt:variant>
        <vt:lpwstr>http://www.ieee.org/portal/cms_docs/pubs/transactions/auinfo03.pdf</vt:lpwstr>
      </vt:variant>
      <vt:variant>
        <vt:lpwstr/>
      </vt:variant>
      <vt:variant>
        <vt:i4>5767243</vt:i4>
      </vt:variant>
      <vt:variant>
        <vt:i4>9</vt:i4>
      </vt:variant>
      <vt:variant>
        <vt:i4>0</vt:i4>
      </vt:variant>
      <vt:variant>
        <vt:i4>5</vt:i4>
      </vt:variant>
      <vt:variant>
        <vt:lpwstr>http://www.mathtype.com/</vt:lpwstr>
      </vt:variant>
      <vt:variant>
        <vt:lpwstr/>
      </vt:variant>
      <vt:variant>
        <vt:i4>2752607</vt:i4>
      </vt:variant>
      <vt:variant>
        <vt:i4>6</vt:i4>
      </vt:variant>
      <vt:variant>
        <vt:i4>0</vt:i4>
      </vt:variant>
      <vt:variant>
        <vt:i4>5</vt:i4>
      </vt:variant>
      <vt:variant>
        <vt:lpwstr>mailto:wayne.lLuplow@zenith.com</vt:lpwstr>
      </vt:variant>
      <vt:variant>
        <vt:lpwstr/>
      </vt:variant>
      <vt:variant>
        <vt:i4>7798830</vt:i4>
      </vt:variant>
      <vt:variant>
        <vt:i4>3</vt:i4>
      </vt:variant>
      <vt:variant>
        <vt:i4>0</vt:i4>
      </vt:variant>
      <vt:variant>
        <vt:i4>5</vt:i4>
      </vt:variant>
      <vt:variant>
        <vt:lpwstr>http://www.cloznet.com/ieee-ce/</vt:lpwstr>
      </vt:variant>
      <vt:variant>
        <vt:lpwstr/>
      </vt:variant>
      <vt:variant>
        <vt:i4>7471200</vt:i4>
      </vt:variant>
      <vt:variant>
        <vt:i4>0</vt:i4>
      </vt:variant>
      <vt:variant>
        <vt:i4>0</vt:i4>
      </vt:variant>
      <vt:variant>
        <vt:i4>5</vt:i4>
      </vt:variant>
      <vt:variant>
        <vt:lpwstr>http://www.ewh.ieee.org/soc/ces/publications_trans_ce.html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T-CE template(May 2012)</dc:title>
  <dc:subject>IEEE Transactions on Consumer Electronics</dc:subject>
  <dc:creator>Sherratt</dc:creator>
  <cp:keywords/>
  <cp:lastModifiedBy>Luis Fernando Aguas B.</cp:lastModifiedBy>
  <cp:revision>4</cp:revision>
  <cp:lastPrinted>2009-07-02T17:55:00Z</cp:lastPrinted>
  <dcterms:created xsi:type="dcterms:W3CDTF">2013-04-29T23:56:00Z</dcterms:created>
  <dcterms:modified xsi:type="dcterms:W3CDTF">2013-05-08T03:45:00Z</dcterms:modified>
</cp:coreProperties>
</file>