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sz w:val="40"/>
          <w:szCs w:val="40"/>
        </w:rPr>
        <w:t xml:space="preserve">Pilotage des stocks de produits périssables par simulation</w:t>
      </w:r>
    </w:p>
    <w:p>
      <w:pPr>
        <w:spacing w:after="140"/>
      </w:pPr>
      <w:r>
        <w:rPr>
          <w:rFonts w:ascii="Calibri" w:cs="Calibri" w:eastAsia="Calibri" w:hAnsi="Calibri"/>
          <w:color w:val="5F6B76"/>
          <w:sz w:val="21"/>
          <w:szCs w:val="21"/>
        </w:rPr>
        <w:t xml:space="preserve">Projet individuel de génie industriel · Sara El Masmoudy · ENSAM Meknès · octobre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D4E89" w:sz="18"/>
              <w:bottom w:val="none" w:color="FFFFFF" w:sz="0"/>
              <w:right w:val="none" w:color="FFFFFF" w:sz="0"/>
            </w:tcBorders>
            <w:shd w:fill="EEF3F8" w:color="auto" w:val="clear"/>
            <w:tcMar>
              <w:top w:type="dxa" w:w="90"/>
              <w:left w:type="dxa" w:w="160"/>
              <w:bottom w:type="dxa" w:w="90"/>
              <w:right w:type="dxa" w:w="120"/>
            </w:tcMar>
          </w:tcPr>
          <w:p>
            <w:r>
              <w:rPr>
                <w:rFonts w:ascii="Calibri" w:cs="Calibri" w:eastAsia="Calibri" w:hAnsi="Calibri"/>
                <w:b/>
                <w:bCs/>
                <w:sz w:val="21"/>
                <w:szCs w:val="21"/>
              </w:rPr>
              <w:t xml:space="preserve">Données simulées. </w:t>
            </w:r>
            <w:r>
              <w:rPr>
                <w:rFonts w:ascii="Calibri" w:cs="Calibri" w:eastAsia="Calibri" w:hAnsi="Calibri"/>
                <w:sz w:val="21"/>
                <w:szCs w:val="21"/>
              </w:rPr>
              <w:t xml:space="preserve">Toutes les valeurs de ce rapport (demande, coûts, durées de vie, délais) viennent d’un jeu de données généré à partir d’hypothèses documentées, pas de données d’entreprise. Les résultats valent pour ces hypothèses et indiquent une méthode, pas un gain à promettre.</w:t>
            </w:r>
          </w:p>
        </w:tc>
      </w:tr>
    </w:tbl>
    <w:p>
      <w:pPr>
        <w:pStyle w:val="Heading1"/>
        <w:spacing w:after="90" w:before="220"/>
      </w:pPr>
      <w:r>
        <w:rPr>
          <w:rFonts w:ascii="Calibri" w:cs="Calibri" w:eastAsia="Calibri" w:hAnsi="Calibri"/>
          <w:b/>
          <w:bCs/>
          <w:color w:val="1D4E89"/>
          <w:sz w:val="26"/>
          <w:szCs w:val="26"/>
        </w:rPr>
        <w:t xml:space="preserve">1. Problème et périmètre</w:t>
      </w:r>
    </w:p>
    <w:p>
      <w:pPr>
        <w:spacing w:after="100" w:line="276"/>
      </w:pPr>
      <w:r>
        <w:rPr>
          <w:rFonts w:ascii="Calibri" w:cs="Calibri" w:eastAsia="Calibri" w:hAnsi="Calibri"/>
          <w:sz w:val="21"/>
          <w:szCs w:val="21"/>
        </w:rPr>
        <w:t xml:space="preserve">Un produit frais coûte cher dans les deux sens : trop peu de stock provoque des ruptures et des ventes perdues, trop de stock provoque des pertes par péremption. Une règle simple du type « commander pour couvrir X jours » traite de la même façon un lait à 7 jours de vie et un yaourt à 24 jours, et ignore la variabilité de la demande.</w:t>
      </w:r>
    </w:p>
    <w:p>
      <w:pPr>
        <w:spacing w:after="100" w:line="276"/>
      </w:pPr>
      <w:r>
        <w:rPr>
          <w:rFonts w:ascii="Calibri" w:cs="Calibri" w:eastAsia="Calibri" w:hAnsi="Calibri"/>
          <w:b/>
          <w:bCs/>
          <w:sz w:val="21"/>
          <w:szCs w:val="21"/>
        </w:rPr>
        <w:t xml:space="preserve">Question : </w:t>
      </w:r>
      <w:r>
        <w:rPr>
          <w:rFonts w:ascii="Calibri" w:cs="Calibri" w:eastAsia="Calibri" w:hAnsi="Calibri"/>
          <w:sz w:val="21"/>
          <w:szCs w:val="21"/>
        </w:rPr>
        <w:t xml:space="preserve">pour chaque classe d’articles, quelle politique de réapprovisionnement minimise le coût total pour un taux de service cible ?</w:t>
      </w:r>
    </w:p>
    <w:p>
      <w:pPr>
        <w:spacing w:after="100" w:line="276"/>
      </w:pPr>
      <w:r>
        <w:rPr>
          <w:rFonts w:ascii="Calibri" w:cs="Calibri" w:eastAsia="Calibri" w:hAnsi="Calibri"/>
          <w:sz w:val="21"/>
          <w:szCs w:val="21"/>
        </w:rPr>
        <w:t xml:space="preserve">Le périmètre est un entrepôt régional et 30 articles laitiers frais (lait pasteurisé, lben et raïb, yaourts, desserts lactés, fromages frais), simulés sur deux ans. Sont exclus : le multi-sites, le transport, la prévision par apprentissage automatique, la négociation fournisseur et les données d’entreprise.</w:t>
      </w:r>
    </w:p>
    <w:p>
      <w:pPr>
        <w:pStyle w:val="Heading1"/>
        <w:spacing w:after="90" w:before="220"/>
      </w:pPr>
      <w:r>
        <w:rPr>
          <w:rFonts w:ascii="Calibri" w:cs="Calibri" w:eastAsia="Calibri" w:hAnsi="Calibri"/>
          <w:b/>
          <w:bCs/>
          <w:color w:val="1D4E89"/>
          <w:sz w:val="26"/>
          <w:szCs w:val="26"/>
        </w:rPr>
        <w:t xml:space="preserve">2. Données et hypothèses</w:t>
      </w:r>
    </w:p>
    <w:p>
      <w:pPr>
        <w:spacing w:after="100" w:line="276"/>
      </w:pPr>
      <w:r>
        <w:rPr>
          <w:rFonts w:ascii="Calibri" w:cs="Calibri" w:eastAsia="Calibri" w:hAnsi="Calibri"/>
          <w:sz w:val="21"/>
          <w:szCs w:val="21"/>
        </w:rPr>
        <w:t xml:space="preserve">Le jeu de données est produit par un script reproductible (graine 42). La demande journalière de chaque article combine un effet jour de la semaine (creux en milieu de semaine, pic le vendredi et le samedi), une saisonnalité annuelle, environ 6 promotions par an (3 à 7 jours, +30 % à +60 %), l’effet du Ramadan (dates approximatives) et un bruit Poisson-Gamma de coefficient de variation 0,25 à 0,50.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800"/>
        <w:gridCol w:w="1300"/>
        <w:gridCol w:w="2000"/>
        <w:gridCol w:w="1238"/>
      </w:tblGrid>
      <w:tr>
        <w:trPr>
          <w:tblHeader/>
        </w:trPr>
        <w:tc>
          <w:tcPr>
            <w:tcW w:type="dxa" w:w="2200"/>
            <w:tcBorders>
              <w:top w:val="single" w:color="C9D3DD" w:sz="4"/>
              <w:left w:val="single" w:color="C9D3DD" w:sz="4"/>
              <w:bottom w:val="single" w:color="C9D3DD" w:sz="4"/>
              <w:right w:val="single" w:color="C9D3DD" w:sz="4"/>
            </w:tcBorders>
            <w:shd w:fill="EEF3F8" w:color="auto" w:val="clear"/>
            <w:tcMar>
              <w:top w:type="dxa" w:w="50"/>
              <w:left w:type="dxa" w:w="80"/>
              <w:bottom w:type="dxa" w:w="50"/>
              <w:right w:type="dxa" w:w="80"/>
            </w:tcMar>
          </w:tcPr>
          <w:p>
            <w:pPr>
              <w:jc w:val="left"/>
            </w:pPr>
            <w:r>
              <w:rPr>
                <w:rFonts w:ascii="Calibri" w:cs="Calibri" w:eastAsia="Calibri" w:hAnsi="Calibri"/>
                <w:b/>
                <w:bCs/>
                <w:sz w:val="18"/>
                <w:szCs w:val="18"/>
              </w:rPr>
              <w:t xml:space="preserve">Famille</w:t>
            </w:r>
          </w:p>
        </w:tc>
        <w:tc>
          <w:tcPr>
            <w:tcW w:type="dxa" w:w="1100"/>
            <w:tcBorders>
              <w:top w:val="single" w:color="C9D3DD" w:sz="4"/>
              <w:left w:val="single" w:color="C9D3DD" w:sz="4"/>
              <w:bottom w:val="single" w:color="C9D3DD" w:sz="4"/>
              <w:right w:val="single" w:color="C9D3DD" w:sz="4"/>
            </w:tcBorders>
            <w:shd w:fill="EEF3F8" w:color="auto" w:val="clear"/>
            <w:tcMar>
              <w:top w:type="dxa" w:w="50"/>
              <w:left w:type="dxa" w:w="80"/>
              <w:bottom w:type="dxa" w:w="50"/>
              <w:right w:type="dxa" w:w="80"/>
            </w:tcMar>
          </w:tcPr>
          <w:p>
            <w:pPr>
              <w:jc w:val="left"/>
            </w:pPr>
            <w:r>
              <w:rPr>
                <w:rFonts w:ascii="Calibri" w:cs="Calibri" w:eastAsia="Calibri" w:hAnsi="Calibri"/>
                <w:b/>
                <w:bCs/>
                <w:sz w:val="18"/>
                <w:szCs w:val="18"/>
              </w:rPr>
              <w:t xml:space="preserve">Articles</w:t>
            </w:r>
          </w:p>
        </w:tc>
        <w:tc>
          <w:tcPr>
            <w:tcW w:type="dxa" w:w="1800"/>
            <w:tcBorders>
              <w:top w:val="single" w:color="C9D3DD" w:sz="4"/>
              <w:left w:val="single" w:color="C9D3DD" w:sz="4"/>
              <w:bottom w:val="single" w:color="C9D3DD" w:sz="4"/>
              <w:right w:val="single" w:color="C9D3DD" w:sz="4"/>
            </w:tcBorders>
            <w:shd w:fill="EEF3F8" w:color="auto" w:val="clear"/>
            <w:tcMar>
              <w:top w:type="dxa" w:w="50"/>
              <w:left w:type="dxa" w:w="80"/>
              <w:bottom w:type="dxa" w:w="50"/>
              <w:right w:type="dxa" w:w="80"/>
            </w:tcMar>
          </w:tcPr>
          <w:p>
            <w:pPr>
              <w:jc w:val="left"/>
            </w:pPr>
            <w:r>
              <w:rPr>
                <w:rFonts w:ascii="Calibri" w:cs="Calibri" w:eastAsia="Calibri" w:hAnsi="Calibri"/>
                <w:b/>
                <w:bCs/>
                <w:sz w:val="18"/>
                <w:szCs w:val="18"/>
              </w:rPr>
              <w:t xml:space="preserve">Durée de vie (j)</w:t>
            </w:r>
          </w:p>
        </w:tc>
        <w:tc>
          <w:tcPr>
            <w:tcW w:type="dxa" w:w="1300"/>
            <w:tcBorders>
              <w:top w:val="single" w:color="C9D3DD" w:sz="4"/>
              <w:left w:val="single" w:color="C9D3DD" w:sz="4"/>
              <w:bottom w:val="single" w:color="C9D3DD" w:sz="4"/>
              <w:right w:val="single" w:color="C9D3DD" w:sz="4"/>
            </w:tcBorders>
            <w:shd w:fill="EEF3F8" w:color="auto" w:val="clear"/>
            <w:tcMar>
              <w:top w:type="dxa" w:w="50"/>
              <w:left w:type="dxa" w:w="80"/>
              <w:bottom w:type="dxa" w:w="50"/>
              <w:right w:type="dxa" w:w="80"/>
            </w:tcMar>
          </w:tcPr>
          <w:p>
            <w:pPr>
              <w:jc w:val="left"/>
            </w:pPr>
            <w:r>
              <w:rPr>
                <w:rFonts w:ascii="Calibri" w:cs="Calibri" w:eastAsia="Calibri" w:hAnsi="Calibri"/>
                <w:b/>
                <w:bCs/>
                <w:sz w:val="18"/>
                <w:szCs w:val="18"/>
              </w:rPr>
              <w:t xml:space="preserve">Délai (j)</w:t>
            </w:r>
          </w:p>
        </w:tc>
        <w:tc>
          <w:tcPr>
            <w:tcW w:type="dxa" w:w="2000"/>
            <w:tcBorders>
              <w:top w:val="single" w:color="C9D3DD" w:sz="4"/>
              <w:left w:val="single" w:color="C9D3DD" w:sz="4"/>
              <w:bottom w:val="single" w:color="C9D3DD" w:sz="4"/>
              <w:right w:val="single" w:color="C9D3DD" w:sz="4"/>
            </w:tcBorders>
            <w:shd w:fill="EEF3F8" w:color="auto" w:val="clear"/>
            <w:tcMar>
              <w:top w:type="dxa" w:w="50"/>
              <w:left w:type="dxa" w:w="80"/>
              <w:bottom w:type="dxa" w:w="50"/>
              <w:right w:type="dxa" w:w="80"/>
            </w:tcMar>
          </w:tcPr>
          <w:p>
            <w:pPr>
              <w:jc w:val="left"/>
            </w:pPr>
            <w:r>
              <w:rPr>
                <w:rFonts w:ascii="Calibri" w:cs="Calibri" w:eastAsia="Calibri" w:hAnsi="Calibri"/>
                <w:b/>
                <w:bCs/>
                <w:sz w:val="18"/>
                <w:szCs w:val="18"/>
              </w:rPr>
              <w:t xml:space="preserve">Demande (unités/jour)</w:t>
            </w:r>
          </w:p>
        </w:tc>
        <w:tc>
          <w:tcPr>
            <w:tcW w:type="dxa" w:w="1238"/>
            <w:tcBorders>
              <w:top w:val="single" w:color="C9D3DD" w:sz="4"/>
              <w:left w:val="single" w:color="C9D3DD" w:sz="4"/>
              <w:bottom w:val="single" w:color="C9D3DD" w:sz="4"/>
              <w:right w:val="single" w:color="C9D3DD" w:sz="4"/>
            </w:tcBorders>
            <w:shd w:fill="EEF3F8" w:color="auto" w:val="clear"/>
            <w:tcMar>
              <w:top w:type="dxa" w:w="50"/>
              <w:left w:type="dxa" w:w="80"/>
              <w:bottom w:type="dxa" w:w="50"/>
              <w:right w:type="dxa" w:w="80"/>
            </w:tcMar>
          </w:tcPr>
          <w:p>
            <w:pPr>
              <w:jc w:val="left"/>
            </w:pPr>
            <w:r>
              <w:rPr>
                <w:rFonts w:ascii="Calibri" w:cs="Calibri" w:eastAsia="Calibri" w:hAnsi="Calibri"/>
                <w:b/>
                <w:bCs/>
                <w:sz w:val="18"/>
                <w:szCs w:val="18"/>
              </w:rPr>
              <w:t xml:space="preserve">Effet Ramadan</w:t>
            </w:r>
          </w:p>
        </w:tc>
      </w:tr>
      <w:tr>
        <w:trPr>
          <w:tblHeader w:val="false"/>
        </w:trPr>
        <w:tc>
          <w:tcPr>
            <w:tcW w:type="dxa" w:w="22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sz w:val="18"/>
                <w:szCs w:val="18"/>
              </w:rPr>
              <w:t xml:space="preserve">Lait pasteurisé</w:t>
            </w:r>
          </w:p>
        </w:tc>
        <w:tc>
          <w:tcPr>
            <w:tcW w:type="dxa" w:w="11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sz w:val="18"/>
                <w:szCs w:val="18"/>
              </w:rPr>
              <w:t xml:space="preserve">4</w:t>
            </w:r>
          </w:p>
        </w:tc>
        <w:tc>
          <w:tcPr>
            <w:tcW w:type="dxa" w:w="18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sz w:val="18"/>
                <w:szCs w:val="18"/>
              </w:rPr>
              <w:t xml:space="preserve">7</w:t>
            </w:r>
          </w:p>
        </w:tc>
        <w:tc>
          <w:tcPr>
            <w:tcW w:type="dxa" w:w="13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sz w:val="18"/>
                <w:szCs w:val="18"/>
              </w:rPr>
              <w:t xml:space="preserve">1</w:t>
            </w:r>
          </w:p>
        </w:tc>
        <w:tc>
          <w:tcPr>
            <w:tcW w:type="dxa" w:w="20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sz w:val="18"/>
                <w:szCs w:val="18"/>
              </w:rPr>
              <w:t xml:space="preserve">600 à 1 500</w:t>
            </w:r>
          </w:p>
        </w:tc>
        <w:tc>
          <w:tcPr>
            <w:tcW w:type="dxa" w:w="1238"/>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sz w:val="18"/>
                <w:szCs w:val="18"/>
              </w:rPr>
              <w:t xml:space="preserve">+10 %</w:t>
            </w:r>
          </w:p>
        </w:tc>
      </w:tr>
      <w:tr>
        <w:trPr>
          <w:tblHeader w:val="false"/>
        </w:trPr>
        <w:tc>
          <w:tcPr>
            <w:tcW w:type="dxa" w:w="22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sz w:val="18"/>
                <w:szCs w:val="18"/>
              </w:rPr>
              <w:t xml:space="preserve">Lben et raïb</w:t>
            </w:r>
          </w:p>
        </w:tc>
        <w:tc>
          <w:tcPr>
            <w:tcW w:type="dxa" w:w="11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sz w:val="18"/>
                <w:szCs w:val="18"/>
              </w:rPr>
              <w:t xml:space="preserve">6</w:t>
            </w:r>
          </w:p>
        </w:tc>
        <w:tc>
          <w:tcPr>
            <w:tcW w:type="dxa" w:w="18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sz w:val="18"/>
                <w:szCs w:val="18"/>
              </w:rPr>
              <w:t xml:space="preserve">12</w:t>
            </w:r>
          </w:p>
        </w:tc>
        <w:tc>
          <w:tcPr>
            <w:tcW w:type="dxa" w:w="13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sz w:val="18"/>
                <w:szCs w:val="18"/>
              </w:rPr>
              <w:t xml:space="preserve">2</w:t>
            </w:r>
          </w:p>
        </w:tc>
        <w:tc>
          <w:tcPr>
            <w:tcW w:type="dxa" w:w="20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sz w:val="18"/>
                <w:szCs w:val="18"/>
              </w:rPr>
              <w:t xml:space="preserve">300 à 900</w:t>
            </w:r>
          </w:p>
        </w:tc>
        <w:tc>
          <w:tcPr>
            <w:tcW w:type="dxa" w:w="1238"/>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sz w:val="18"/>
                <w:szCs w:val="18"/>
              </w:rPr>
              <w:t xml:space="preserve">+35 %</w:t>
            </w:r>
          </w:p>
        </w:tc>
      </w:tr>
      <w:tr>
        <w:trPr>
          <w:tblHeader w:val="false"/>
        </w:trPr>
        <w:tc>
          <w:tcPr>
            <w:tcW w:type="dxa" w:w="22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sz w:val="18"/>
                <w:szCs w:val="18"/>
              </w:rPr>
              <w:t xml:space="preserve">Yaourts</w:t>
            </w:r>
          </w:p>
        </w:tc>
        <w:tc>
          <w:tcPr>
            <w:tcW w:type="dxa" w:w="11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sz w:val="18"/>
                <w:szCs w:val="18"/>
              </w:rPr>
              <w:t xml:space="preserve">10</w:t>
            </w:r>
          </w:p>
        </w:tc>
        <w:tc>
          <w:tcPr>
            <w:tcW w:type="dxa" w:w="18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sz w:val="18"/>
                <w:szCs w:val="18"/>
              </w:rPr>
              <w:t xml:space="preserve">24</w:t>
            </w:r>
          </w:p>
        </w:tc>
        <w:tc>
          <w:tcPr>
            <w:tcW w:type="dxa" w:w="13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sz w:val="18"/>
                <w:szCs w:val="18"/>
              </w:rPr>
              <w:t xml:space="preserve">2</w:t>
            </w:r>
          </w:p>
        </w:tc>
        <w:tc>
          <w:tcPr>
            <w:tcW w:type="dxa" w:w="20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sz w:val="18"/>
                <w:szCs w:val="18"/>
              </w:rPr>
              <w:t xml:space="preserve">150 à 1 200</w:t>
            </w:r>
          </w:p>
        </w:tc>
        <w:tc>
          <w:tcPr>
            <w:tcW w:type="dxa" w:w="1238"/>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sz w:val="18"/>
                <w:szCs w:val="18"/>
              </w:rPr>
              <w:t xml:space="preserve">+15 %</w:t>
            </w:r>
          </w:p>
        </w:tc>
      </w:tr>
      <w:tr>
        <w:trPr>
          <w:tblHeader w:val="false"/>
        </w:trPr>
        <w:tc>
          <w:tcPr>
            <w:tcW w:type="dxa" w:w="22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sz w:val="18"/>
                <w:szCs w:val="18"/>
              </w:rPr>
              <w:t xml:space="preserve">Desserts lactés</w:t>
            </w:r>
          </w:p>
        </w:tc>
        <w:tc>
          <w:tcPr>
            <w:tcW w:type="dxa" w:w="11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sz w:val="18"/>
                <w:szCs w:val="18"/>
              </w:rPr>
              <w:t xml:space="preserve">6</w:t>
            </w:r>
          </w:p>
        </w:tc>
        <w:tc>
          <w:tcPr>
            <w:tcW w:type="dxa" w:w="18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sz w:val="18"/>
                <w:szCs w:val="18"/>
              </w:rPr>
              <w:t xml:space="preserve">21</w:t>
            </w:r>
          </w:p>
        </w:tc>
        <w:tc>
          <w:tcPr>
            <w:tcW w:type="dxa" w:w="13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sz w:val="18"/>
                <w:szCs w:val="18"/>
              </w:rPr>
              <w:t xml:space="preserve">2</w:t>
            </w:r>
          </w:p>
        </w:tc>
        <w:tc>
          <w:tcPr>
            <w:tcW w:type="dxa" w:w="20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sz w:val="18"/>
                <w:szCs w:val="18"/>
              </w:rPr>
              <w:t xml:space="preserve">100 à 500</w:t>
            </w:r>
          </w:p>
        </w:tc>
        <w:tc>
          <w:tcPr>
            <w:tcW w:type="dxa" w:w="1238"/>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sz w:val="18"/>
                <w:szCs w:val="18"/>
              </w:rPr>
              <w:t xml:space="preserve">+25 %</w:t>
            </w:r>
          </w:p>
        </w:tc>
      </w:tr>
      <w:tr>
        <w:trPr>
          <w:tblHeader w:val="false"/>
        </w:trPr>
        <w:tc>
          <w:tcPr>
            <w:tcW w:type="dxa" w:w="22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sz w:val="18"/>
                <w:szCs w:val="18"/>
              </w:rPr>
              <w:t xml:space="preserve">Fromages frais</w:t>
            </w:r>
          </w:p>
        </w:tc>
        <w:tc>
          <w:tcPr>
            <w:tcW w:type="dxa" w:w="11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sz w:val="18"/>
                <w:szCs w:val="18"/>
              </w:rPr>
              <w:t xml:space="preserve">4</w:t>
            </w:r>
          </w:p>
        </w:tc>
        <w:tc>
          <w:tcPr>
            <w:tcW w:type="dxa" w:w="18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sz w:val="18"/>
                <w:szCs w:val="18"/>
              </w:rPr>
              <w:t xml:space="preserve">14</w:t>
            </w:r>
          </w:p>
        </w:tc>
        <w:tc>
          <w:tcPr>
            <w:tcW w:type="dxa" w:w="13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sz w:val="18"/>
                <w:szCs w:val="18"/>
              </w:rPr>
              <w:t xml:space="preserve">3</w:t>
            </w:r>
          </w:p>
        </w:tc>
        <w:tc>
          <w:tcPr>
            <w:tcW w:type="dxa" w:w="20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sz w:val="18"/>
                <w:szCs w:val="18"/>
              </w:rPr>
              <w:t xml:space="preserve">60 à 300</w:t>
            </w:r>
          </w:p>
        </w:tc>
        <w:tc>
          <w:tcPr>
            <w:tcW w:type="dxa" w:w="1238"/>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sz w:val="18"/>
                <w:szCs w:val="18"/>
              </w:rPr>
              <w:t xml:space="preserve">+10 %</w:t>
            </w:r>
          </w:p>
        </w:tc>
      </w:tr>
    </w:tbl>
    <w:p>
      <w:pPr>
        <w:spacing w:after="100" w:line="276"/>
      </w:pPr>
      <w:r>
        <w:rPr>
          <w:rFonts w:ascii="Calibri" w:cs="Calibri" w:eastAsia="Calibri" w:hAnsi="Calibri"/>
          <w:sz w:val="21"/>
          <w:szCs w:val="21"/>
        </w:rPr>
        <w:t xml:space="preserve"/>
      </w:r>
    </w:p>
    <w:p>
      <w:pPr>
        <w:spacing w:after="100" w:line="276"/>
      </w:pPr>
      <w:r>
        <w:rPr>
          <w:rFonts w:ascii="Calibri" w:cs="Calibri" w:eastAsia="Calibri" w:hAnsi="Calibri"/>
          <w:sz w:val="21"/>
          <w:szCs w:val="21"/>
        </w:rPr>
        <w:t xml:space="preserve">Chaque article a un coût d’achat, une marge de 25 % à 40 %, un multiple de commande (12, 24 ou 48 unités) et une durée de vie résiduelle à la réception égale à la durée totale moins 2 jours. Le coût de possession est fixé à 20 % par an. Les paramètres sont estimés sur 2024 et la demande de 2025 sert à l’évaluation.</w:t>
      </w:r>
    </w:p>
    <w:p>
      <w:pPr>
        <w:pStyle w:val="Heading1"/>
        <w:spacing w:after="90" w:before="220"/>
      </w:pPr>
      <w:r>
        <w:rPr>
          <w:rFonts w:ascii="Calibri" w:cs="Calibri" w:eastAsia="Calibri" w:hAnsi="Calibri"/>
          <w:b/>
          <w:bCs/>
          <w:color w:val="1D4E89"/>
          <w:sz w:val="26"/>
          <w:szCs w:val="26"/>
        </w:rPr>
        <w:t xml:space="preserve">3. Méthode</w:t>
      </w:r>
    </w:p>
    <w:p>
      <w:pPr>
        <w:pStyle w:val="ListParagraph"/>
        <w:numPr>
          <w:ilvl w:val="0"/>
          <w:numId w:val="2"/>
        </w:numPr>
        <w:spacing w:after="50" w:line="270"/>
      </w:pPr>
      <w:r>
        <w:rPr>
          <w:rFonts w:ascii="Calibri" w:cs="Calibri" w:eastAsia="Calibri" w:hAnsi="Calibri"/>
          <w:b/>
          <w:bCs/>
          <w:sz w:val="21"/>
          <w:szCs w:val="21"/>
        </w:rPr>
        <w:t xml:space="preserve">Segmentation. </w:t>
      </w:r>
      <w:r>
        <w:rPr>
          <w:rFonts w:ascii="Calibri" w:cs="Calibri" w:eastAsia="Calibri" w:hAnsi="Calibri"/>
          <w:sz w:val="21"/>
          <w:szCs w:val="21"/>
        </w:rPr>
        <w:t xml:space="preserve">ABC d’après la valeur annuelle (demande × coût d’achat), seuils à 80 % et 95 % : 16 articles A, 8 B, 6 C. XYZ d’après le coefficient de variation (X ≤ 0,40, Y ≤ 0,50, Z au-delà) : 13 X, 12 Y, 5 Z. Les seuils sont des choix, pas des lois.</w:t>
      </w:r>
    </w:p>
    <w:p>
      <w:pPr>
        <w:pStyle w:val="ListParagraph"/>
        <w:numPr>
          <w:ilvl w:val="0"/>
          <w:numId w:val="2"/>
        </w:numPr>
        <w:spacing w:after="50" w:line="270"/>
      </w:pPr>
      <w:r>
        <w:rPr>
          <w:rFonts w:ascii="Calibri" w:cs="Calibri" w:eastAsia="Calibri" w:hAnsi="Calibri"/>
          <w:b/>
          <w:bCs/>
          <w:sz w:val="21"/>
          <w:szCs w:val="21"/>
        </w:rPr>
        <w:t xml:space="preserve">Prévision. </w:t>
      </w:r>
      <w:r>
        <w:rPr>
          <w:rFonts w:ascii="Calibri" w:cs="Calibri" w:eastAsia="Calibri" w:hAnsi="Calibri"/>
          <w:sz w:val="21"/>
          <w:szCs w:val="21"/>
        </w:rPr>
        <w:t xml:space="preserve">Moyenne et écart-type glissants sur 28 jours, décalés d’un jour pour ne pas utiliser la demande du jour. Biais de −0,1 %, erreur absolue de 31 % : la prévision jour par jour est mauvaise à cause du bruit, d’où l’importance du stock de sécurité.</w:t>
      </w:r>
    </w:p>
    <w:p>
      <w:pPr>
        <w:pStyle w:val="ListParagraph"/>
        <w:numPr>
          <w:ilvl w:val="0"/>
          <w:numId w:val="2"/>
        </w:numPr>
        <w:spacing w:after="50" w:line="270"/>
      </w:pPr>
      <w:r>
        <w:rPr>
          <w:rFonts w:ascii="Calibri" w:cs="Calibri" w:eastAsia="Calibri" w:hAnsi="Calibri"/>
          <w:b/>
          <w:bCs/>
          <w:sz w:val="21"/>
          <w:szCs w:val="21"/>
        </w:rPr>
        <w:t xml:space="preserve">Trois politiques. </w:t>
      </w:r>
      <w:r>
        <w:rPr>
          <w:rFonts w:ascii="Calibri" w:cs="Calibri" w:eastAsia="Calibri" w:hAnsi="Calibri"/>
          <w:sz w:val="21"/>
          <w:szCs w:val="21"/>
        </w:rPr>
        <w:t xml:space="preserve">Couverture fixe (référence, C jours de demande moyenne) ; point de commande (s,Q) avec s = μL + zσ√L ; révision périodique (R,S) avec S = μ(R+L) + zσ√(R+L). Les décisions portent sur la position de stock (stock physique + commandes en cours). Un plafond de péremption μ × (durée de vie résiduelle − 1) s’applique aux trois, et les quantités sont arrondies au multiple de conditionnement.</w:t>
      </w:r>
    </w:p>
    <w:p>
      <w:pPr>
        <w:pStyle w:val="ListParagraph"/>
        <w:numPr>
          <w:ilvl w:val="0"/>
          <w:numId w:val="2"/>
        </w:numPr>
        <w:spacing w:after="50" w:line="270"/>
      </w:pPr>
      <w:r>
        <w:rPr>
          <w:rFonts w:ascii="Calibri" w:cs="Calibri" w:eastAsia="Calibri" w:hAnsi="Calibri"/>
          <w:b/>
          <w:bCs/>
          <w:sz w:val="21"/>
          <w:szCs w:val="21"/>
        </w:rPr>
        <w:t xml:space="preserve">Simulateur. </w:t>
      </w:r>
      <w:r>
        <w:rPr>
          <w:rFonts w:ascii="Calibri" w:cs="Calibri" w:eastAsia="Calibri" w:hAnsi="Calibri"/>
          <w:sz w:val="21"/>
          <w:szCs w:val="21"/>
        </w:rPr>
        <w:t xml:space="preserve">Boucle journalière : réception, vente en FEFO, retrait des périmés, calcul de la position, commande. Les ventes manquées sont perdues. Le bilan de stock (stock initial + réceptions − ventes − périmés = stock final) est exact sur les 90 simulations du rétro-test, et 24 tests unitaires passent.</w:t>
      </w:r>
    </w:p>
    <w:p>
      <w:pPr>
        <w:pStyle w:val="ListParagraph"/>
        <w:numPr>
          <w:ilvl w:val="0"/>
          <w:numId w:val="2"/>
        </w:numPr>
        <w:spacing w:after="50" w:line="270"/>
      </w:pPr>
      <w:r>
        <w:rPr>
          <w:rFonts w:ascii="Calibri" w:cs="Calibri" w:eastAsia="Calibri" w:hAnsi="Calibri"/>
          <w:b/>
          <w:bCs/>
          <w:sz w:val="21"/>
          <w:szCs w:val="21"/>
        </w:rPr>
        <w:t xml:space="preserve">Évaluation. </w:t>
      </w:r>
      <w:r>
        <w:rPr>
          <w:rFonts w:ascii="Calibri" w:cs="Calibri" w:eastAsia="Calibri" w:hAnsi="Calibri"/>
          <w:sz w:val="21"/>
          <w:szCs w:val="21"/>
        </w:rPr>
        <w:t xml:space="preserve">Un modèle de demande ajusté sur 2024 génère 100 réplications de 2025. À chaque réplication, la même demande sert aux 33 configurations testées, de sorte que les écarts viennent de la politique et non de la chance. Le coût total est C = h·Σ c·I(t) + m·Σ U(t) + c·Σ E(t), avec I le stock, U les ventes perdues, E les périmés, c le coût d’achat et m la marge.</w:t>
      </w:r>
    </w:p>
    <w:p>
      <w:pPr>
        <w:pStyle w:val="ListParagraph"/>
        <w:numPr>
          <w:ilvl w:val="0"/>
          <w:numId w:val="2"/>
        </w:numPr>
        <w:spacing w:after="50" w:line="270"/>
      </w:pPr>
      <w:r>
        <w:rPr>
          <w:rFonts w:ascii="Calibri" w:cs="Calibri" w:eastAsia="Calibri" w:hAnsi="Calibri"/>
          <w:b/>
          <w:bCs/>
          <w:sz w:val="21"/>
          <w:szCs w:val="21"/>
        </w:rPr>
        <w:t xml:space="preserve">Décision. </w:t>
      </w:r>
      <w:r>
        <w:rPr>
          <w:rFonts w:ascii="Calibri" w:cs="Calibri" w:eastAsia="Calibri" w:hAnsi="Calibri"/>
          <w:sz w:val="21"/>
          <w:szCs w:val="21"/>
        </w:rPr>
        <w:t xml:space="preserve">Pour chaque classe, on retient la configuration la moins chère qui atteint la cible de service (A 95 %, B 92 %, C 90 %, hypothèses à justifier). La référence est la meilleure couverture fixe (C = 2, 3, 4, 5 ou 7 jours), pas une version faible.</w:t>
      </w:r>
    </w:p>
    <w:p>
      <w:pPr>
        <w:pStyle w:val="Heading1"/>
        <w:spacing w:after="90" w:before="220"/>
      </w:pPr>
      <w:r>
        <w:rPr>
          <w:rFonts w:ascii="Calibri" w:cs="Calibri" w:eastAsia="Calibri" w:hAnsi="Calibri"/>
          <w:b/>
          <w:bCs/>
          <w:color w:val="1D4E89"/>
          <w:sz w:val="26"/>
          <w:szCs w:val="26"/>
        </w:rPr>
        <w:t xml:space="preserve">4. Résultats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000"/>
        <w:gridCol w:w="950"/>
        <w:gridCol w:w="850"/>
        <w:gridCol w:w="1100"/>
        <w:gridCol w:w="2538"/>
      </w:tblGrid>
      <w:tr>
        <w:trPr>
          <w:tblHeader/>
        </w:trPr>
        <w:tc>
          <w:tcPr>
            <w:tcW w:type="dxa" w:w="700"/>
            <w:tcBorders>
              <w:top w:val="single" w:color="C9D3DD" w:sz="4"/>
              <w:left w:val="single" w:color="C9D3DD" w:sz="4"/>
              <w:bottom w:val="single" w:color="C9D3DD" w:sz="4"/>
              <w:right w:val="single" w:color="C9D3DD" w:sz="4"/>
            </w:tcBorders>
            <w:shd w:fill="EEF3F8" w:color="auto" w:val="clear"/>
            <w:tcMar>
              <w:top w:type="dxa" w:w="50"/>
              <w:left w:type="dxa" w:w="80"/>
              <w:bottom w:type="dxa" w:w="50"/>
              <w:right w:type="dxa" w:w="80"/>
            </w:tcMar>
          </w:tcPr>
          <w:p>
            <w:pPr>
              <w:jc w:val="left"/>
            </w:pPr>
            <w:r>
              <w:rPr>
                <w:rFonts w:ascii="Calibri" w:cs="Calibri" w:eastAsia="Calibri" w:hAnsi="Calibri"/>
                <w:b/>
                <w:bCs/>
                <w:sz w:val="18"/>
                <w:szCs w:val="18"/>
              </w:rPr>
              <w:t xml:space="preserve">Classe</w:t>
            </w:r>
          </w:p>
        </w:tc>
        <w:tc>
          <w:tcPr>
            <w:tcW w:type="dxa" w:w="1500"/>
            <w:tcBorders>
              <w:top w:val="single" w:color="C9D3DD" w:sz="4"/>
              <w:left w:val="single" w:color="C9D3DD" w:sz="4"/>
              <w:bottom w:val="single" w:color="C9D3DD" w:sz="4"/>
              <w:right w:val="single" w:color="C9D3DD" w:sz="4"/>
            </w:tcBorders>
            <w:shd w:fill="EEF3F8" w:color="auto" w:val="clear"/>
            <w:tcMar>
              <w:top w:type="dxa" w:w="50"/>
              <w:left w:type="dxa" w:w="80"/>
              <w:bottom w:type="dxa" w:w="50"/>
              <w:right w:type="dxa" w:w="80"/>
            </w:tcMar>
          </w:tcPr>
          <w:p>
            <w:pPr>
              <w:jc w:val="left"/>
            </w:pPr>
            <w:r>
              <w:rPr>
                <w:rFonts w:ascii="Calibri" w:cs="Calibri" w:eastAsia="Calibri" w:hAnsi="Calibri"/>
                <w:b/>
                <w:bCs/>
                <w:sz w:val="18"/>
                <w:szCs w:val="18"/>
              </w:rPr>
              <w:t xml:space="preserve">Politique</w:t>
            </w:r>
          </w:p>
        </w:tc>
        <w:tc>
          <w:tcPr>
            <w:tcW w:type="dxa" w:w="2000"/>
            <w:tcBorders>
              <w:top w:val="single" w:color="C9D3DD" w:sz="4"/>
              <w:left w:val="single" w:color="C9D3DD" w:sz="4"/>
              <w:bottom w:val="single" w:color="C9D3DD" w:sz="4"/>
              <w:right w:val="single" w:color="C9D3DD" w:sz="4"/>
            </w:tcBorders>
            <w:shd w:fill="EEF3F8" w:color="auto" w:val="clear"/>
            <w:tcMar>
              <w:top w:type="dxa" w:w="50"/>
              <w:left w:type="dxa" w:w="80"/>
              <w:bottom w:type="dxa" w:w="50"/>
              <w:right w:type="dxa" w:w="80"/>
            </w:tcMar>
          </w:tcPr>
          <w:p>
            <w:pPr>
              <w:jc w:val="left"/>
            </w:pPr>
            <w:r>
              <w:rPr>
                <w:rFonts w:ascii="Calibri" w:cs="Calibri" w:eastAsia="Calibri" w:hAnsi="Calibri"/>
                <w:b/>
                <w:bCs/>
                <w:sz w:val="18"/>
                <w:szCs w:val="18"/>
              </w:rPr>
              <w:t xml:space="preserve">Paramètres</w:t>
            </w:r>
          </w:p>
        </w:tc>
        <w:tc>
          <w:tcPr>
            <w:tcW w:type="dxa" w:w="950"/>
            <w:tcBorders>
              <w:top w:val="single" w:color="C9D3DD" w:sz="4"/>
              <w:left w:val="single" w:color="C9D3DD" w:sz="4"/>
              <w:bottom w:val="single" w:color="C9D3DD" w:sz="4"/>
              <w:right w:val="single" w:color="C9D3DD" w:sz="4"/>
            </w:tcBorders>
            <w:shd w:fill="EEF3F8" w:color="auto" w:val="clear"/>
            <w:tcMar>
              <w:top w:type="dxa" w:w="50"/>
              <w:left w:type="dxa" w:w="80"/>
              <w:bottom w:type="dxa" w:w="50"/>
              <w:right w:type="dxa" w:w="80"/>
            </w:tcMar>
          </w:tcPr>
          <w:p>
            <w:pPr>
              <w:jc w:val="right"/>
            </w:pPr>
            <w:r>
              <w:rPr>
                <w:rFonts w:ascii="Calibri" w:cs="Calibri" w:eastAsia="Calibri" w:hAnsi="Calibri"/>
                <w:b/>
                <w:bCs/>
                <w:sz w:val="18"/>
                <w:szCs w:val="18"/>
              </w:rPr>
              <w:t xml:space="preserve">Service</w:t>
            </w:r>
          </w:p>
        </w:tc>
        <w:tc>
          <w:tcPr>
            <w:tcW w:type="dxa" w:w="850"/>
            <w:tcBorders>
              <w:top w:val="single" w:color="C9D3DD" w:sz="4"/>
              <w:left w:val="single" w:color="C9D3DD" w:sz="4"/>
              <w:bottom w:val="single" w:color="C9D3DD" w:sz="4"/>
              <w:right w:val="single" w:color="C9D3DD" w:sz="4"/>
            </w:tcBorders>
            <w:shd w:fill="EEF3F8" w:color="auto" w:val="clear"/>
            <w:tcMar>
              <w:top w:type="dxa" w:w="50"/>
              <w:left w:type="dxa" w:w="80"/>
              <w:bottom w:type="dxa" w:w="50"/>
              <w:right w:type="dxa" w:w="80"/>
            </w:tcMar>
          </w:tcPr>
          <w:p>
            <w:pPr>
              <w:jc w:val="right"/>
            </w:pPr>
            <w:r>
              <w:rPr>
                <w:rFonts w:ascii="Calibri" w:cs="Calibri" w:eastAsia="Calibri" w:hAnsi="Calibri"/>
                <w:b/>
                <w:bCs/>
                <w:sz w:val="18"/>
                <w:szCs w:val="18"/>
              </w:rPr>
              <w:t xml:space="preserve">Pertes</w:t>
            </w:r>
          </w:p>
        </w:tc>
        <w:tc>
          <w:tcPr>
            <w:tcW w:type="dxa" w:w="1100"/>
            <w:tcBorders>
              <w:top w:val="single" w:color="C9D3DD" w:sz="4"/>
              <w:left w:val="single" w:color="C9D3DD" w:sz="4"/>
              <w:bottom w:val="single" w:color="C9D3DD" w:sz="4"/>
              <w:right w:val="single" w:color="C9D3DD" w:sz="4"/>
            </w:tcBorders>
            <w:shd w:fill="EEF3F8" w:color="auto" w:val="clear"/>
            <w:tcMar>
              <w:top w:type="dxa" w:w="50"/>
              <w:left w:type="dxa" w:w="80"/>
              <w:bottom w:type="dxa" w:w="50"/>
              <w:right w:type="dxa" w:w="80"/>
            </w:tcMar>
          </w:tcPr>
          <w:p>
            <w:pPr>
              <w:jc w:val="right"/>
            </w:pPr>
            <w:r>
              <w:rPr>
                <w:rFonts w:ascii="Calibri" w:cs="Calibri" w:eastAsia="Calibri" w:hAnsi="Calibri"/>
                <w:b/>
                <w:bCs/>
                <w:sz w:val="18"/>
                <w:szCs w:val="18"/>
              </w:rPr>
              <w:t xml:space="preserve">Coût (MAD)</w:t>
            </w:r>
          </w:p>
        </w:tc>
        <w:tc>
          <w:tcPr>
            <w:tcW w:type="dxa" w:w="2538"/>
            <w:tcBorders>
              <w:top w:val="single" w:color="C9D3DD" w:sz="4"/>
              <w:left w:val="single" w:color="C9D3DD" w:sz="4"/>
              <w:bottom w:val="single" w:color="C9D3DD" w:sz="4"/>
              <w:right w:val="single" w:color="C9D3DD" w:sz="4"/>
            </w:tcBorders>
            <w:shd w:fill="EEF3F8" w:color="auto" w:val="clear"/>
            <w:tcMar>
              <w:top w:type="dxa" w:w="50"/>
              <w:left w:type="dxa" w:w="80"/>
              <w:bottom w:type="dxa" w:w="50"/>
              <w:right w:type="dxa" w:w="80"/>
            </w:tcMar>
          </w:tcPr>
          <w:p>
            <w:pPr>
              <w:jc w:val="left"/>
            </w:pPr>
            <w:r>
              <w:rPr>
                <w:rFonts w:ascii="Calibri" w:cs="Calibri" w:eastAsia="Calibri" w:hAnsi="Calibri"/>
                <w:b/>
                <w:bCs/>
                <w:sz w:val="18"/>
                <w:szCs w:val="18"/>
              </w:rPr>
              <w:t xml:space="preserve">Économie vs référence [5–95 %]</w:t>
            </w:r>
          </w:p>
        </w:tc>
      </w:tr>
      <w:tr>
        <w:trPr>
          <w:tblHeader w:val="false"/>
        </w:trPr>
        <w:tc>
          <w:tcPr>
            <w:tcW w:type="dxa" w:w="7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A</w:t>
            </w:r>
          </w:p>
        </w:tc>
        <w:tc>
          <w:tcPr>
            <w:tcW w:type="dxa" w:w="15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Couverture fixe</w:t>
            </w:r>
          </w:p>
        </w:tc>
        <w:tc>
          <w:tcPr>
            <w:tcW w:type="dxa" w:w="20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C = 3 j</w:t>
            </w:r>
          </w:p>
        </w:tc>
        <w:tc>
          <w:tcPr>
            <w:tcW w:type="dxa" w:w="95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right"/>
            </w:pPr>
            <w:r>
              <w:rPr>
                <w:rFonts w:ascii="Calibri" w:cs="Calibri" w:eastAsia="Calibri" w:hAnsi="Calibri"/>
                <w:b w:val="false"/>
                <w:bCs w:val="false"/>
                <w:sz w:val="18"/>
                <w:szCs w:val="18"/>
              </w:rPr>
              <w:t xml:space="preserve">98,50 %</w:t>
            </w:r>
          </w:p>
        </w:tc>
        <w:tc>
          <w:tcPr>
            <w:tcW w:type="dxa" w:w="85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right"/>
            </w:pPr>
            <w:r>
              <w:rPr>
                <w:rFonts w:ascii="Calibri" w:cs="Calibri" w:eastAsia="Calibri" w:hAnsi="Calibri"/>
                <w:b w:val="false"/>
                <w:bCs w:val="false"/>
                <w:sz w:val="18"/>
                <w:szCs w:val="18"/>
              </w:rPr>
              <w:t xml:space="preserve">0,06 %</w:t>
            </w:r>
          </w:p>
        </w:tc>
        <w:tc>
          <w:tcPr>
            <w:tcW w:type="dxa" w:w="11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right"/>
            </w:pPr>
            <w:r>
              <w:rPr>
                <w:rFonts w:ascii="Calibri" w:cs="Calibri" w:eastAsia="Calibri" w:hAnsi="Calibri"/>
                <w:b w:val="false"/>
                <w:bCs w:val="false"/>
                <w:sz w:val="18"/>
                <w:szCs w:val="18"/>
              </w:rPr>
              <w:t xml:space="preserve">148 030</w:t>
            </w:r>
          </w:p>
        </w:tc>
        <w:tc>
          <w:tcPr>
            <w:tcW w:type="dxa" w:w="2538"/>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référence</w:t>
            </w:r>
          </w:p>
        </w:tc>
      </w:tr>
      <w:tr>
        <w:trPr>
          <w:tblHeader w:val="false"/>
        </w:trPr>
        <w:tc>
          <w:tcPr>
            <w:tcW w:type="dxa" w:w="7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A</w:t>
            </w:r>
          </w:p>
        </w:tc>
        <w:tc>
          <w:tcPr>
            <w:tcW w:type="dxa" w:w="15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(s,Q)</w:t>
            </w:r>
          </w:p>
        </w:tc>
        <w:tc>
          <w:tcPr>
            <w:tcW w:type="dxa" w:w="20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service 99 %, Q = 1 j</w:t>
            </w:r>
          </w:p>
        </w:tc>
        <w:tc>
          <w:tcPr>
            <w:tcW w:type="dxa" w:w="95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right"/>
            </w:pPr>
            <w:r>
              <w:rPr>
                <w:rFonts w:ascii="Calibri" w:cs="Calibri" w:eastAsia="Calibri" w:hAnsi="Calibri"/>
                <w:b w:val="false"/>
                <w:bCs w:val="false"/>
                <w:sz w:val="18"/>
                <w:szCs w:val="18"/>
              </w:rPr>
              <w:t xml:space="preserve">99,65 %</w:t>
            </w:r>
          </w:p>
        </w:tc>
        <w:tc>
          <w:tcPr>
            <w:tcW w:type="dxa" w:w="85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right"/>
            </w:pPr>
            <w:r>
              <w:rPr>
                <w:rFonts w:ascii="Calibri" w:cs="Calibri" w:eastAsia="Calibri" w:hAnsi="Calibri"/>
                <w:b w:val="false"/>
                <w:bCs w:val="false"/>
                <w:sz w:val="18"/>
                <w:szCs w:val="18"/>
              </w:rPr>
              <w:t xml:space="preserve">0,04 %</w:t>
            </w:r>
          </w:p>
        </w:tc>
        <w:tc>
          <w:tcPr>
            <w:tcW w:type="dxa" w:w="11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right"/>
            </w:pPr>
            <w:r>
              <w:rPr>
                <w:rFonts w:ascii="Calibri" w:cs="Calibri" w:eastAsia="Calibri" w:hAnsi="Calibri"/>
                <w:b w:val="false"/>
                <w:bCs w:val="false"/>
                <w:sz w:val="18"/>
                <w:szCs w:val="18"/>
              </w:rPr>
              <w:t xml:space="preserve">51 913</w:t>
            </w:r>
          </w:p>
        </w:tc>
        <w:tc>
          <w:tcPr>
            <w:tcW w:type="dxa" w:w="2538"/>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65,0 % [58,0 ; 70,2]</w:t>
            </w:r>
          </w:p>
        </w:tc>
      </w:tr>
      <w:tr>
        <w:trPr>
          <w:tblHeader w:val="false"/>
        </w:trPr>
        <w:tc>
          <w:tcPr>
            <w:tcW w:type="dxa" w:w="7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b/>
                <w:bCs/>
                <w:sz w:val="18"/>
                <w:szCs w:val="18"/>
              </w:rPr>
              <w:t xml:space="preserve">A</w:t>
            </w:r>
          </w:p>
        </w:tc>
        <w:tc>
          <w:tcPr>
            <w:tcW w:type="dxa" w:w="15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b/>
                <w:bCs/>
                <w:sz w:val="18"/>
                <w:szCs w:val="18"/>
              </w:rPr>
              <w:t xml:space="preserve">(R,S)</w:t>
            </w:r>
          </w:p>
        </w:tc>
        <w:tc>
          <w:tcPr>
            <w:tcW w:type="dxa" w:w="20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b/>
                <w:bCs/>
                <w:sz w:val="18"/>
                <w:szCs w:val="18"/>
              </w:rPr>
              <w:t xml:space="preserve">service 90 %, R = 1 j</w:t>
            </w:r>
          </w:p>
        </w:tc>
        <w:tc>
          <w:tcPr>
            <w:tcW w:type="dxa" w:w="95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right"/>
            </w:pPr>
            <w:r>
              <w:rPr>
                <w:rFonts w:ascii="Calibri" w:cs="Calibri" w:eastAsia="Calibri" w:hAnsi="Calibri"/>
                <w:b/>
                <w:bCs/>
                <w:sz w:val="18"/>
                <w:szCs w:val="18"/>
              </w:rPr>
              <w:t xml:space="preserve">99,81 %</w:t>
            </w:r>
          </w:p>
        </w:tc>
        <w:tc>
          <w:tcPr>
            <w:tcW w:type="dxa" w:w="85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right"/>
            </w:pPr>
            <w:r>
              <w:rPr>
                <w:rFonts w:ascii="Calibri" w:cs="Calibri" w:eastAsia="Calibri" w:hAnsi="Calibri"/>
                <w:b/>
                <w:bCs/>
                <w:sz w:val="18"/>
                <w:szCs w:val="18"/>
              </w:rPr>
              <w:t xml:space="preserve">0,04 %</w:t>
            </w:r>
          </w:p>
        </w:tc>
        <w:tc>
          <w:tcPr>
            <w:tcW w:type="dxa" w:w="11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right"/>
            </w:pPr>
            <w:r>
              <w:rPr>
                <w:rFonts w:ascii="Calibri" w:cs="Calibri" w:eastAsia="Calibri" w:hAnsi="Calibri"/>
                <w:b/>
                <w:bCs/>
                <w:sz w:val="18"/>
                <w:szCs w:val="18"/>
              </w:rPr>
              <w:t xml:space="preserve">44 206</w:t>
            </w:r>
          </w:p>
        </w:tc>
        <w:tc>
          <w:tcPr>
            <w:tcW w:type="dxa" w:w="2538"/>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b/>
                <w:bCs/>
                <w:sz w:val="18"/>
                <w:szCs w:val="18"/>
              </w:rPr>
              <w:t xml:space="preserve">70,2 % [64,4 ; 74,7]</w:t>
            </w:r>
          </w:p>
        </w:tc>
      </w:tr>
      <w:tr>
        <w:trPr>
          <w:tblHeader w:val="false"/>
        </w:trPr>
        <w:tc>
          <w:tcPr>
            <w:tcW w:type="dxa" w:w="7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B</w:t>
            </w:r>
          </w:p>
        </w:tc>
        <w:tc>
          <w:tcPr>
            <w:tcW w:type="dxa" w:w="15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Couverture fixe</w:t>
            </w:r>
          </w:p>
        </w:tc>
        <w:tc>
          <w:tcPr>
            <w:tcW w:type="dxa" w:w="20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C = 5 j</w:t>
            </w:r>
          </w:p>
        </w:tc>
        <w:tc>
          <w:tcPr>
            <w:tcW w:type="dxa" w:w="95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right"/>
            </w:pPr>
            <w:r>
              <w:rPr>
                <w:rFonts w:ascii="Calibri" w:cs="Calibri" w:eastAsia="Calibri" w:hAnsi="Calibri"/>
                <w:b w:val="false"/>
                <w:bCs w:val="false"/>
                <w:sz w:val="18"/>
                <w:szCs w:val="18"/>
              </w:rPr>
              <w:t xml:space="preserve">99,88 %</w:t>
            </w:r>
          </w:p>
        </w:tc>
        <w:tc>
          <w:tcPr>
            <w:tcW w:type="dxa" w:w="85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right"/>
            </w:pPr>
            <w:r>
              <w:rPr>
                <w:rFonts w:ascii="Calibri" w:cs="Calibri" w:eastAsia="Calibri" w:hAnsi="Calibri"/>
                <w:b w:val="false"/>
                <w:bCs w:val="false"/>
                <w:sz w:val="18"/>
                <w:szCs w:val="18"/>
              </w:rPr>
              <w:t xml:space="preserve">0,00 %</w:t>
            </w:r>
          </w:p>
        </w:tc>
        <w:tc>
          <w:tcPr>
            <w:tcW w:type="dxa" w:w="11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right"/>
            </w:pPr>
            <w:r>
              <w:rPr>
                <w:rFonts w:ascii="Calibri" w:cs="Calibri" w:eastAsia="Calibri" w:hAnsi="Calibri"/>
                <w:b w:val="false"/>
                <w:bCs w:val="false"/>
                <w:sz w:val="18"/>
                <w:szCs w:val="18"/>
              </w:rPr>
              <w:t xml:space="preserve">8 596</w:t>
            </w:r>
          </w:p>
        </w:tc>
        <w:tc>
          <w:tcPr>
            <w:tcW w:type="dxa" w:w="2538"/>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référence</w:t>
            </w:r>
          </w:p>
        </w:tc>
      </w:tr>
      <w:tr>
        <w:trPr>
          <w:tblHeader w:val="false"/>
        </w:trPr>
        <w:tc>
          <w:tcPr>
            <w:tcW w:type="dxa" w:w="7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B</w:t>
            </w:r>
          </w:p>
        </w:tc>
        <w:tc>
          <w:tcPr>
            <w:tcW w:type="dxa" w:w="15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(s,Q)</w:t>
            </w:r>
          </w:p>
        </w:tc>
        <w:tc>
          <w:tcPr>
            <w:tcW w:type="dxa" w:w="20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service 99 %, Q = 2 j</w:t>
            </w:r>
          </w:p>
        </w:tc>
        <w:tc>
          <w:tcPr>
            <w:tcW w:type="dxa" w:w="95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right"/>
            </w:pPr>
            <w:r>
              <w:rPr>
                <w:rFonts w:ascii="Calibri" w:cs="Calibri" w:eastAsia="Calibri" w:hAnsi="Calibri"/>
                <w:b w:val="false"/>
                <w:bCs w:val="false"/>
                <w:sz w:val="18"/>
                <w:szCs w:val="18"/>
              </w:rPr>
              <w:t xml:space="preserve">99,72 %</w:t>
            </w:r>
          </w:p>
        </w:tc>
        <w:tc>
          <w:tcPr>
            <w:tcW w:type="dxa" w:w="85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right"/>
            </w:pPr>
            <w:r>
              <w:rPr>
                <w:rFonts w:ascii="Calibri" w:cs="Calibri" w:eastAsia="Calibri" w:hAnsi="Calibri"/>
                <w:b w:val="false"/>
                <w:bCs w:val="false"/>
                <w:sz w:val="18"/>
                <w:szCs w:val="18"/>
              </w:rPr>
              <w:t xml:space="preserve">0,00 %</w:t>
            </w:r>
          </w:p>
        </w:tc>
        <w:tc>
          <w:tcPr>
            <w:tcW w:type="dxa" w:w="11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right"/>
            </w:pPr>
            <w:r>
              <w:rPr>
                <w:rFonts w:ascii="Calibri" w:cs="Calibri" w:eastAsia="Calibri" w:hAnsi="Calibri"/>
                <w:b w:val="false"/>
                <w:bCs w:val="false"/>
                <w:sz w:val="18"/>
                <w:szCs w:val="18"/>
              </w:rPr>
              <w:t xml:space="preserve">9 053</w:t>
            </w:r>
          </w:p>
        </w:tc>
        <w:tc>
          <w:tcPr>
            <w:tcW w:type="dxa" w:w="2538"/>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−5,7 % [−21,5 ; +12,2]</w:t>
            </w:r>
          </w:p>
        </w:tc>
      </w:tr>
      <w:tr>
        <w:trPr>
          <w:tblHeader w:val="false"/>
        </w:trPr>
        <w:tc>
          <w:tcPr>
            <w:tcW w:type="dxa" w:w="7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b/>
                <w:bCs/>
                <w:sz w:val="18"/>
                <w:szCs w:val="18"/>
              </w:rPr>
              <w:t xml:space="preserve">B</w:t>
            </w:r>
          </w:p>
        </w:tc>
        <w:tc>
          <w:tcPr>
            <w:tcW w:type="dxa" w:w="15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b/>
                <w:bCs/>
                <w:sz w:val="18"/>
                <w:szCs w:val="18"/>
              </w:rPr>
              <w:t xml:space="preserve">(R,S)</w:t>
            </w:r>
          </w:p>
        </w:tc>
        <w:tc>
          <w:tcPr>
            <w:tcW w:type="dxa" w:w="20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b/>
                <w:bCs/>
                <w:sz w:val="18"/>
                <w:szCs w:val="18"/>
              </w:rPr>
              <w:t xml:space="preserve">service 98 %, R = 1 j</w:t>
            </w:r>
          </w:p>
        </w:tc>
        <w:tc>
          <w:tcPr>
            <w:tcW w:type="dxa" w:w="95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right"/>
            </w:pPr>
            <w:r>
              <w:rPr>
                <w:rFonts w:ascii="Calibri" w:cs="Calibri" w:eastAsia="Calibri" w:hAnsi="Calibri"/>
                <w:b/>
                <w:bCs/>
                <w:sz w:val="18"/>
                <w:szCs w:val="18"/>
              </w:rPr>
              <w:t xml:space="preserve">99,90 %</w:t>
            </w:r>
          </w:p>
        </w:tc>
        <w:tc>
          <w:tcPr>
            <w:tcW w:type="dxa" w:w="85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right"/>
            </w:pPr>
            <w:r>
              <w:rPr>
                <w:rFonts w:ascii="Calibri" w:cs="Calibri" w:eastAsia="Calibri" w:hAnsi="Calibri"/>
                <w:b/>
                <w:bCs/>
                <w:sz w:val="18"/>
                <w:szCs w:val="18"/>
              </w:rPr>
              <w:t xml:space="preserve">0,00 %</w:t>
            </w:r>
          </w:p>
        </w:tc>
        <w:tc>
          <w:tcPr>
            <w:tcW w:type="dxa" w:w="11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right"/>
            </w:pPr>
            <w:r>
              <w:rPr>
                <w:rFonts w:ascii="Calibri" w:cs="Calibri" w:eastAsia="Calibri" w:hAnsi="Calibri"/>
                <w:b/>
                <w:bCs/>
                <w:sz w:val="18"/>
                <w:szCs w:val="18"/>
              </w:rPr>
              <w:t xml:space="preserve">6 857</w:t>
            </w:r>
          </w:p>
        </w:tc>
        <w:tc>
          <w:tcPr>
            <w:tcW w:type="dxa" w:w="2538"/>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b/>
                <w:bCs/>
                <w:sz w:val="18"/>
                <w:szCs w:val="18"/>
              </w:rPr>
              <w:t xml:space="preserve">19,8 % [9,7 ; 31,0]</w:t>
            </w:r>
          </w:p>
        </w:tc>
      </w:tr>
      <w:tr>
        <w:trPr>
          <w:tblHeader w:val="false"/>
        </w:trPr>
        <w:tc>
          <w:tcPr>
            <w:tcW w:type="dxa" w:w="7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C</w:t>
            </w:r>
          </w:p>
        </w:tc>
        <w:tc>
          <w:tcPr>
            <w:tcW w:type="dxa" w:w="15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Couverture fixe</w:t>
            </w:r>
          </w:p>
        </w:tc>
        <w:tc>
          <w:tcPr>
            <w:tcW w:type="dxa" w:w="20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C = 5 j</w:t>
            </w:r>
          </w:p>
        </w:tc>
        <w:tc>
          <w:tcPr>
            <w:tcW w:type="dxa" w:w="95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right"/>
            </w:pPr>
            <w:r>
              <w:rPr>
                <w:rFonts w:ascii="Calibri" w:cs="Calibri" w:eastAsia="Calibri" w:hAnsi="Calibri"/>
                <w:b w:val="false"/>
                <w:bCs w:val="false"/>
                <w:sz w:val="18"/>
                <w:szCs w:val="18"/>
              </w:rPr>
              <w:t xml:space="preserve">99,94 %</w:t>
            </w:r>
          </w:p>
        </w:tc>
        <w:tc>
          <w:tcPr>
            <w:tcW w:type="dxa" w:w="85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right"/>
            </w:pPr>
            <w:r>
              <w:rPr>
                <w:rFonts w:ascii="Calibri" w:cs="Calibri" w:eastAsia="Calibri" w:hAnsi="Calibri"/>
                <w:b w:val="false"/>
                <w:bCs w:val="false"/>
                <w:sz w:val="18"/>
                <w:szCs w:val="18"/>
              </w:rPr>
              <w:t xml:space="preserve">0,00 %</w:t>
            </w:r>
          </w:p>
        </w:tc>
        <w:tc>
          <w:tcPr>
            <w:tcW w:type="dxa" w:w="11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right"/>
            </w:pPr>
            <w:r>
              <w:rPr>
                <w:rFonts w:ascii="Calibri" w:cs="Calibri" w:eastAsia="Calibri" w:hAnsi="Calibri"/>
                <w:b w:val="false"/>
                <w:bCs w:val="false"/>
                <w:sz w:val="18"/>
                <w:szCs w:val="18"/>
              </w:rPr>
              <w:t xml:space="preserve">2 228</w:t>
            </w:r>
          </w:p>
        </w:tc>
        <w:tc>
          <w:tcPr>
            <w:tcW w:type="dxa" w:w="2538"/>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référence</w:t>
            </w:r>
          </w:p>
        </w:tc>
      </w:tr>
      <w:tr>
        <w:trPr>
          <w:tblHeader w:val="false"/>
        </w:trPr>
        <w:tc>
          <w:tcPr>
            <w:tcW w:type="dxa" w:w="7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C</w:t>
            </w:r>
          </w:p>
        </w:tc>
        <w:tc>
          <w:tcPr>
            <w:tcW w:type="dxa" w:w="15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(s,Q)</w:t>
            </w:r>
          </w:p>
        </w:tc>
        <w:tc>
          <w:tcPr>
            <w:tcW w:type="dxa" w:w="20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service 99 %, Q = 2 j</w:t>
            </w:r>
          </w:p>
        </w:tc>
        <w:tc>
          <w:tcPr>
            <w:tcW w:type="dxa" w:w="95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right"/>
            </w:pPr>
            <w:r>
              <w:rPr>
                <w:rFonts w:ascii="Calibri" w:cs="Calibri" w:eastAsia="Calibri" w:hAnsi="Calibri"/>
                <w:b w:val="false"/>
                <w:bCs w:val="false"/>
                <w:sz w:val="18"/>
                <w:szCs w:val="18"/>
              </w:rPr>
              <w:t xml:space="preserve">99,77 %</w:t>
            </w:r>
          </w:p>
        </w:tc>
        <w:tc>
          <w:tcPr>
            <w:tcW w:type="dxa" w:w="85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right"/>
            </w:pPr>
            <w:r>
              <w:rPr>
                <w:rFonts w:ascii="Calibri" w:cs="Calibri" w:eastAsia="Calibri" w:hAnsi="Calibri"/>
                <w:b w:val="false"/>
                <w:bCs w:val="false"/>
                <w:sz w:val="18"/>
                <w:szCs w:val="18"/>
              </w:rPr>
              <w:t xml:space="preserve">0,00 %</w:t>
            </w:r>
          </w:p>
        </w:tc>
        <w:tc>
          <w:tcPr>
            <w:tcW w:type="dxa" w:w="11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right"/>
            </w:pPr>
            <w:r>
              <w:rPr>
                <w:rFonts w:ascii="Calibri" w:cs="Calibri" w:eastAsia="Calibri" w:hAnsi="Calibri"/>
                <w:b w:val="false"/>
                <w:bCs w:val="false"/>
                <w:sz w:val="18"/>
                <w:szCs w:val="18"/>
              </w:rPr>
              <w:t xml:space="preserve">2 479</w:t>
            </w:r>
          </w:p>
        </w:tc>
        <w:tc>
          <w:tcPr>
            <w:tcW w:type="dxa" w:w="2538"/>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b w:val="false"/>
                <w:bCs w:val="false"/>
                <w:sz w:val="18"/>
                <w:szCs w:val="18"/>
              </w:rPr>
              <w:t xml:space="preserve">−11,5 % [−28,8 ; +8,1]</w:t>
            </w:r>
          </w:p>
        </w:tc>
      </w:tr>
      <w:tr>
        <w:trPr>
          <w:tblHeader w:val="false"/>
        </w:trPr>
        <w:tc>
          <w:tcPr>
            <w:tcW w:type="dxa" w:w="7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b/>
                <w:bCs/>
                <w:sz w:val="18"/>
                <w:szCs w:val="18"/>
              </w:rPr>
              <w:t xml:space="preserve">C</w:t>
            </w:r>
          </w:p>
        </w:tc>
        <w:tc>
          <w:tcPr>
            <w:tcW w:type="dxa" w:w="15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b/>
                <w:bCs/>
                <w:sz w:val="18"/>
                <w:szCs w:val="18"/>
              </w:rPr>
              <w:t xml:space="preserve">(R,S)</w:t>
            </w:r>
          </w:p>
        </w:tc>
        <w:tc>
          <w:tcPr>
            <w:tcW w:type="dxa" w:w="20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b/>
                <w:bCs/>
                <w:sz w:val="18"/>
                <w:szCs w:val="18"/>
              </w:rPr>
              <w:t xml:space="preserve">service 98 %, R = 1 j</w:t>
            </w:r>
          </w:p>
        </w:tc>
        <w:tc>
          <w:tcPr>
            <w:tcW w:type="dxa" w:w="95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right"/>
            </w:pPr>
            <w:r>
              <w:rPr>
                <w:rFonts w:ascii="Calibri" w:cs="Calibri" w:eastAsia="Calibri" w:hAnsi="Calibri"/>
                <w:b/>
                <w:bCs/>
                <w:sz w:val="18"/>
                <w:szCs w:val="18"/>
              </w:rPr>
              <w:t xml:space="preserve">99,95 %</w:t>
            </w:r>
          </w:p>
        </w:tc>
        <w:tc>
          <w:tcPr>
            <w:tcW w:type="dxa" w:w="85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right"/>
            </w:pPr>
            <w:r>
              <w:rPr>
                <w:rFonts w:ascii="Calibri" w:cs="Calibri" w:eastAsia="Calibri" w:hAnsi="Calibri"/>
                <w:b/>
                <w:bCs/>
                <w:sz w:val="18"/>
                <w:szCs w:val="18"/>
              </w:rPr>
              <w:t xml:space="preserve">0,00 %</w:t>
            </w:r>
          </w:p>
        </w:tc>
        <w:tc>
          <w:tcPr>
            <w:tcW w:type="dxa" w:w="11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right"/>
            </w:pPr>
            <w:r>
              <w:rPr>
                <w:rFonts w:ascii="Calibri" w:cs="Calibri" w:eastAsia="Calibri" w:hAnsi="Calibri"/>
                <w:b/>
                <w:bCs/>
                <w:sz w:val="18"/>
                <w:szCs w:val="18"/>
              </w:rPr>
              <w:t xml:space="preserve">1 944</w:t>
            </w:r>
          </w:p>
        </w:tc>
        <w:tc>
          <w:tcPr>
            <w:tcW w:type="dxa" w:w="2538"/>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b/>
                <w:bCs/>
                <w:sz w:val="18"/>
                <w:szCs w:val="18"/>
              </w:rPr>
              <w:t xml:space="preserve">12,6 % [3,9 ; 21,2]</w:t>
            </w:r>
          </w:p>
        </w:tc>
      </w:tr>
    </w:tbl>
    <w:p>
      <w:pPr>
        <w:spacing w:after="120"/>
        <w:jc w:val="left"/>
      </w:pPr>
      <w:r>
        <w:rPr>
          <w:rFonts w:ascii="Calibri" w:cs="Calibri" w:eastAsia="Calibri" w:hAnsi="Calibri"/>
          <w:i/>
          <w:iCs/>
          <w:color w:val="5F6B76"/>
          <w:sz w:val="18"/>
          <w:szCs w:val="18"/>
        </w:rPr>
        <w:t xml:space="preserve">Tableau 1. Configuration la moins chère de chaque politique, par classe. Moyennes sur 100 réplications ; l’économie est calculée réplication par réplication, sur la même demande.</w:t>
      </w:r>
    </w:p>
    <w:p>
      <w:pPr>
        <w:spacing w:after="40" w:before="60"/>
        <w:jc w:val="center"/>
      </w:pPr>
      <w:r>
        <w:drawing>
          <wp:inline distT="0" distB="0" distL="0" distR="0">
            <wp:extent cx="5715000" cy="2228850"/>
            <wp:effectExtent t="0" r="0" b="0" l="0"/>
            <wp:docPr id="1" name="cout_par_politique.png" descr="cout_par_politique.png" title="cout_par_politiq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228850"/>
                    </a:xfrm>
                    <a:prstGeom prst="rect">
                      <a:avLst/>
                    </a:prstGeom>
                  </pic:spPr>
                </pic:pic>
              </a:graphicData>
            </a:graphic>
          </wp:inline>
        </w:drawing>
      </w:r>
    </w:p>
    <w:p>
      <w:pPr>
        <w:spacing w:after="120"/>
        <w:jc w:val="left"/>
      </w:pPr>
      <w:r>
        <w:rPr>
          <w:rFonts w:ascii="Calibri" w:cs="Calibri" w:eastAsia="Calibri" w:hAnsi="Calibri"/>
          <w:i/>
          <w:iCs/>
          <w:color w:val="5F6B76"/>
          <w:sz w:val="18"/>
          <w:szCs w:val="18"/>
        </w:rPr>
        <w:t xml:space="preserve">Figure 1. Coût total moyen 2025 et intervalle 5–95 % des réplications, par classe.</w:t>
      </w:r>
    </w:p>
    <w:p>
      <w:pPr>
        <w:spacing w:after="100" w:line="276"/>
      </w:pPr>
      <w:r>
        <w:rPr>
          <w:rFonts w:ascii="Calibri" w:cs="Calibri" w:eastAsia="Calibri" w:hAnsi="Calibri"/>
          <w:b/>
          <w:bCs/>
          <w:sz w:val="21"/>
          <w:szCs w:val="21"/>
        </w:rPr>
        <w:t xml:space="preserve">La révision périodique quotidienne (R,S, R = 1 jour) est la politique la moins chère dans les trois classes. </w:t>
      </w:r>
      <w:r>
        <w:rPr>
          <w:rFonts w:ascii="Calibri" w:cs="Calibri" w:eastAsia="Calibri" w:hAnsi="Calibri"/>
          <w:sz w:val="21"/>
          <w:szCs w:val="21"/>
        </w:rPr>
        <w:t xml:space="preserve">Elle réduit le coût de 70,2 % en classe A, de 19,8 % en B et de 12,6 % en C par rapport à la meilleure couverture fixe, et elle est moins chère dans 100 %, 99 % et 97 % des réplications. Elle bat la référence parce qu’elle règle le stock de sécurité article par article selon la variabilité et le délai, là où la couverture fixe donne le même nombre de jours à tous.</w:t>
      </w:r>
    </w:p>
    <w:p>
      <w:pPr>
        <w:spacing w:after="100" w:line="276"/>
      </w:pPr>
      <w:r>
        <w:rPr>
          <w:rFonts w:ascii="Calibri" w:cs="Calibri" w:eastAsia="Calibri" w:hAnsi="Calibri"/>
          <w:b/>
          <w:bCs/>
          <w:sz w:val="21"/>
          <w:szCs w:val="21"/>
        </w:rPr>
        <w:t xml:space="preserve">Le (s,Q) n’est solide qu’en classe A. </w:t>
      </w:r>
      <w:r>
        <w:rPr>
          <w:rFonts w:ascii="Calibri" w:cs="Calibri" w:eastAsia="Calibri" w:hAnsi="Calibri"/>
          <w:sz w:val="21"/>
          <w:szCs w:val="21"/>
        </w:rPr>
        <w:t xml:space="preserve">En B et en C, son écart avec la référence est compris dans l’intervalle de variation (moins cher dans 33 % et 16 % des réplications) : il n’y a pas de conclusion à en tirer.</w:t>
      </w:r>
    </w:p>
    <w:p>
      <w:pPr>
        <w:spacing w:after="100" w:line="276"/>
      </w:pPr>
      <w:r>
        <w:rPr>
          <w:rFonts w:ascii="Calibri" w:cs="Calibri" w:eastAsia="Calibri" w:hAnsi="Calibri"/>
          <w:b/>
          <w:bCs/>
          <w:sz w:val="21"/>
          <w:szCs w:val="21"/>
        </w:rPr>
        <w:t xml:space="preserve">Le gain vient des ruptures évitées, pas des pertes de péremption. </w:t>
      </w:r>
      <w:r>
        <w:rPr>
          <w:rFonts w:ascii="Calibri" w:cs="Calibri" w:eastAsia="Calibri" w:hAnsi="Calibri"/>
          <w:sz w:val="21"/>
          <w:szCs w:val="21"/>
        </w:rPr>
        <w:t xml:space="preserve">Les pertes restent très faibles (au plus 0,84 % des unités reçues pour la classe A, moins de 0,1 % pour B, nulles pour C), parce que les politiques gardent 1 à 3 jours de stock alors que les articles tiennent au moins 5 jours après réception. Le coût d’une vente perdue (la marge) pèse bien plus qu’un jour de stock (20 % par an), ce qui pousse l’optimum vers un service très élevé. Le plafond de péremption joue surtout pour le lait, dont la durée de vie résiduelle est la plus courte : pour SKU02, un niveau (R,S) à R = 3 jours (7 862 unités) dépasse le plafond de 6 208 unités.</w:t>
      </w:r>
    </w:p>
    <w:p>
      <w:pPr>
        <w:spacing w:after="100" w:line="276"/>
      </w:pPr>
      <w:r>
        <w:rPr>
          <w:rFonts w:ascii="Calibri" w:cs="Calibri" w:eastAsia="Calibri" w:hAnsi="Calibri"/>
          <w:b/>
          <w:bCs/>
          <w:sz w:val="21"/>
          <w:szCs w:val="21"/>
        </w:rPr>
        <w:t xml:space="preserve">Un service réglé n’est pas un service obtenu. </w:t>
      </w:r>
      <w:r>
        <w:rPr>
          <w:rFonts w:ascii="Calibri" w:cs="Calibri" w:eastAsia="Calibri" w:hAnsi="Calibri"/>
          <w:sz w:val="21"/>
          <w:szCs w:val="21"/>
        </w:rPr>
        <w:t xml:space="preserve">Le (R,S) réglé à 90 % atteint 99,8 % de taux de service, car le coefficient z vise le service par cycle de commande, pas la part de demande servie.</w:t>
      </w:r>
    </w:p>
    <w:p>
      <w:pPr>
        <w:spacing w:after="40" w:before="60"/>
        <w:jc w:val="center"/>
      </w:pPr>
      <w:r>
        <w:drawing>
          <wp:inline distT="0" distB="0" distL="0" distR="0">
            <wp:extent cx="5715000" cy="2286000"/>
            <wp:effectExtent t="0" r="0" b="0" l="0"/>
            <wp:docPr id="1" name="frontiere_service_pertes.png" descr="frontiere_service_pertes.png" title="frontiere_service_per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286000"/>
                    </a:xfrm>
                    <a:prstGeom prst="rect">
                      <a:avLst/>
                    </a:prstGeom>
                  </pic:spPr>
                </pic:pic>
              </a:graphicData>
            </a:graphic>
          </wp:inline>
        </w:drawing>
      </w:r>
    </w:p>
    <w:p>
      <w:pPr>
        <w:spacing w:after="120"/>
        <w:jc w:val="left"/>
      </w:pPr>
      <w:r>
        <w:rPr>
          <w:rFonts w:ascii="Calibri" w:cs="Calibri" w:eastAsia="Calibri" w:hAnsi="Calibri"/>
          <w:i/>
          <w:iCs/>
          <w:color w:val="5F6B76"/>
          <w:sz w:val="18"/>
          <w:szCs w:val="18"/>
        </w:rPr>
        <w:t xml:space="preserve">Figure 2. Chaque point est une configuration. La ligne pointillée marque la cible de service ; presque toutes les configurations la dépassent et leurs pertes restent proches de zéro (échelles différentes selon les classes).</w:t>
      </w:r>
    </w:p>
    <w:p>
      <w:pPr>
        <w:pStyle w:val="Heading1"/>
        <w:spacing w:after="90" w:before="220"/>
      </w:pPr>
      <w:r>
        <w:rPr>
          <w:rFonts w:ascii="Calibri" w:cs="Calibri" w:eastAsia="Calibri" w:hAnsi="Calibri"/>
          <w:b/>
          <w:bCs/>
          <w:color w:val="1D4E89"/>
          <w:sz w:val="26"/>
          <w:szCs w:val="26"/>
        </w:rPr>
        <w:t xml:space="preserve">5. Sensibilité de la décision</w:t>
      </w:r>
    </w:p>
    <w:p>
      <w:pPr>
        <w:spacing w:after="100" w:line="276"/>
      </w:pPr>
      <w:r>
        <w:rPr>
          <w:rFonts w:ascii="Calibri" w:cs="Calibri" w:eastAsia="Calibri" w:hAnsi="Calibri"/>
          <w:sz w:val="21"/>
          <w:szCs w:val="21"/>
        </w:rPr>
        <w:t xml:space="preserve">Les configurations retenues ont été rejouées (30 réplications) sous des hypothèses modifiées. La décision ne change dans aucun scénario : le (R,S) quotidien reste la politique la moins chère, et le (s,Q) reste moins bon que la référence en B et 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1200"/>
        <w:gridCol w:w="1200"/>
        <w:gridCol w:w="1200"/>
        <w:gridCol w:w="1200"/>
        <w:gridCol w:w="1200"/>
        <w:gridCol w:w="1200"/>
      </w:tblGrid>
      <w:tr>
        <w:trPr>
          <w:tblHeader/>
        </w:trPr>
        <w:tc>
          <w:tcPr>
            <w:tcW w:type="dxa" w:w="2438"/>
            <w:tcBorders>
              <w:top w:val="single" w:color="C9D3DD" w:sz="4"/>
              <w:left w:val="single" w:color="C9D3DD" w:sz="4"/>
              <w:bottom w:val="single" w:color="C9D3DD" w:sz="4"/>
              <w:right w:val="single" w:color="C9D3DD" w:sz="4"/>
            </w:tcBorders>
            <w:shd w:fill="EEF3F8" w:color="auto" w:val="clear"/>
            <w:tcMar>
              <w:top w:type="dxa" w:w="50"/>
              <w:left w:type="dxa" w:w="80"/>
              <w:bottom w:type="dxa" w:w="50"/>
              <w:right w:type="dxa" w:w="80"/>
            </w:tcMar>
          </w:tcPr>
          <w:p>
            <w:pPr>
              <w:jc w:val="left"/>
            </w:pPr>
            <w:r>
              <w:rPr>
                <w:rFonts w:ascii="Calibri" w:cs="Calibri" w:eastAsia="Calibri" w:hAnsi="Calibri"/>
                <w:b/>
                <w:bCs/>
                <w:sz w:val="18"/>
                <w:szCs w:val="18"/>
              </w:rPr>
              <w:t xml:space="preserve">Scénario</w:t>
            </w:r>
          </w:p>
        </w:tc>
        <w:tc>
          <w:tcPr>
            <w:tcW w:type="dxa" w:w="1200"/>
            <w:tcBorders>
              <w:top w:val="single" w:color="C9D3DD" w:sz="4"/>
              <w:left w:val="single" w:color="C9D3DD" w:sz="4"/>
              <w:bottom w:val="single" w:color="C9D3DD" w:sz="4"/>
              <w:right w:val="single" w:color="C9D3DD" w:sz="4"/>
            </w:tcBorders>
            <w:shd w:fill="EEF3F8" w:color="auto" w:val="clear"/>
            <w:tcMar>
              <w:top w:type="dxa" w:w="50"/>
              <w:left w:type="dxa" w:w="80"/>
              <w:bottom w:type="dxa" w:w="50"/>
              <w:right w:type="dxa" w:w="80"/>
            </w:tcMar>
          </w:tcPr>
          <w:p>
            <w:pPr>
              <w:jc w:val="right"/>
            </w:pPr>
            <w:r>
              <w:rPr>
                <w:rFonts w:ascii="Calibri" w:cs="Calibri" w:eastAsia="Calibri" w:hAnsi="Calibri"/>
                <w:b/>
                <w:bCs/>
                <w:sz w:val="18"/>
                <w:szCs w:val="18"/>
              </w:rPr>
              <w:t xml:space="preserve">(R,S) A</w:t>
            </w:r>
          </w:p>
        </w:tc>
        <w:tc>
          <w:tcPr>
            <w:tcW w:type="dxa" w:w="1200"/>
            <w:tcBorders>
              <w:top w:val="single" w:color="C9D3DD" w:sz="4"/>
              <w:left w:val="single" w:color="C9D3DD" w:sz="4"/>
              <w:bottom w:val="single" w:color="C9D3DD" w:sz="4"/>
              <w:right w:val="single" w:color="C9D3DD" w:sz="4"/>
            </w:tcBorders>
            <w:shd w:fill="EEF3F8" w:color="auto" w:val="clear"/>
            <w:tcMar>
              <w:top w:type="dxa" w:w="50"/>
              <w:left w:type="dxa" w:w="80"/>
              <w:bottom w:type="dxa" w:w="50"/>
              <w:right w:type="dxa" w:w="80"/>
            </w:tcMar>
          </w:tcPr>
          <w:p>
            <w:pPr>
              <w:jc w:val="right"/>
            </w:pPr>
            <w:r>
              <w:rPr>
                <w:rFonts w:ascii="Calibri" w:cs="Calibri" w:eastAsia="Calibri" w:hAnsi="Calibri"/>
                <w:b/>
                <w:bCs/>
                <w:sz w:val="18"/>
                <w:szCs w:val="18"/>
              </w:rPr>
              <w:t xml:space="preserve">(R,S) B</w:t>
            </w:r>
          </w:p>
        </w:tc>
        <w:tc>
          <w:tcPr>
            <w:tcW w:type="dxa" w:w="1200"/>
            <w:tcBorders>
              <w:top w:val="single" w:color="C9D3DD" w:sz="4"/>
              <w:left w:val="single" w:color="C9D3DD" w:sz="4"/>
              <w:bottom w:val="single" w:color="C9D3DD" w:sz="4"/>
              <w:right w:val="single" w:color="C9D3DD" w:sz="4"/>
            </w:tcBorders>
            <w:shd w:fill="EEF3F8" w:color="auto" w:val="clear"/>
            <w:tcMar>
              <w:top w:type="dxa" w:w="50"/>
              <w:left w:type="dxa" w:w="80"/>
              <w:bottom w:type="dxa" w:w="50"/>
              <w:right w:type="dxa" w:w="80"/>
            </w:tcMar>
          </w:tcPr>
          <w:p>
            <w:pPr>
              <w:jc w:val="right"/>
            </w:pPr>
            <w:r>
              <w:rPr>
                <w:rFonts w:ascii="Calibri" w:cs="Calibri" w:eastAsia="Calibri" w:hAnsi="Calibri"/>
                <w:b/>
                <w:bCs/>
                <w:sz w:val="18"/>
                <w:szCs w:val="18"/>
              </w:rPr>
              <w:t xml:space="preserve">(R,S) C</w:t>
            </w:r>
          </w:p>
        </w:tc>
        <w:tc>
          <w:tcPr>
            <w:tcW w:type="dxa" w:w="1200"/>
            <w:tcBorders>
              <w:top w:val="single" w:color="C9D3DD" w:sz="4"/>
              <w:left w:val="single" w:color="C9D3DD" w:sz="4"/>
              <w:bottom w:val="single" w:color="C9D3DD" w:sz="4"/>
              <w:right w:val="single" w:color="C9D3DD" w:sz="4"/>
            </w:tcBorders>
            <w:shd w:fill="EEF3F8" w:color="auto" w:val="clear"/>
            <w:tcMar>
              <w:top w:type="dxa" w:w="50"/>
              <w:left w:type="dxa" w:w="80"/>
              <w:bottom w:type="dxa" w:w="50"/>
              <w:right w:type="dxa" w:w="80"/>
            </w:tcMar>
          </w:tcPr>
          <w:p>
            <w:pPr>
              <w:jc w:val="right"/>
            </w:pPr>
            <w:r>
              <w:rPr>
                <w:rFonts w:ascii="Calibri" w:cs="Calibri" w:eastAsia="Calibri" w:hAnsi="Calibri"/>
                <w:b/>
                <w:bCs/>
                <w:sz w:val="18"/>
                <w:szCs w:val="18"/>
              </w:rPr>
              <w:t xml:space="preserve">(s,Q) A</w:t>
            </w:r>
          </w:p>
        </w:tc>
        <w:tc>
          <w:tcPr>
            <w:tcW w:type="dxa" w:w="1200"/>
            <w:tcBorders>
              <w:top w:val="single" w:color="C9D3DD" w:sz="4"/>
              <w:left w:val="single" w:color="C9D3DD" w:sz="4"/>
              <w:bottom w:val="single" w:color="C9D3DD" w:sz="4"/>
              <w:right w:val="single" w:color="C9D3DD" w:sz="4"/>
            </w:tcBorders>
            <w:shd w:fill="EEF3F8" w:color="auto" w:val="clear"/>
            <w:tcMar>
              <w:top w:type="dxa" w:w="50"/>
              <w:left w:type="dxa" w:w="80"/>
              <w:bottom w:type="dxa" w:w="50"/>
              <w:right w:type="dxa" w:w="80"/>
            </w:tcMar>
          </w:tcPr>
          <w:p>
            <w:pPr>
              <w:jc w:val="right"/>
            </w:pPr>
            <w:r>
              <w:rPr>
                <w:rFonts w:ascii="Calibri" w:cs="Calibri" w:eastAsia="Calibri" w:hAnsi="Calibri"/>
                <w:b/>
                <w:bCs/>
                <w:sz w:val="18"/>
                <w:szCs w:val="18"/>
              </w:rPr>
              <w:t xml:space="preserve">(s,Q) B</w:t>
            </w:r>
          </w:p>
        </w:tc>
        <w:tc>
          <w:tcPr>
            <w:tcW w:type="dxa" w:w="1200"/>
            <w:tcBorders>
              <w:top w:val="single" w:color="C9D3DD" w:sz="4"/>
              <w:left w:val="single" w:color="C9D3DD" w:sz="4"/>
              <w:bottom w:val="single" w:color="C9D3DD" w:sz="4"/>
              <w:right w:val="single" w:color="C9D3DD" w:sz="4"/>
            </w:tcBorders>
            <w:shd w:fill="EEF3F8" w:color="auto" w:val="clear"/>
            <w:tcMar>
              <w:top w:type="dxa" w:w="50"/>
              <w:left w:type="dxa" w:w="80"/>
              <w:bottom w:type="dxa" w:w="50"/>
              <w:right w:type="dxa" w:w="80"/>
            </w:tcMar>
          </w:tcPr>
          <w:p>
            <w:pPr>
              <w:jc w:val="right"/>
            </w:pPr>
            <w:r>
              <w:rPr>
                <w:rFonts w:ascii="Calibri" w:cs="Calibri" w:eastAsia="Calibri" w:hAnsi="Calibri"/>
                <w:b/>
                <w:bCs/>
                <w:sz w:val="18"/>
                <w:szCs w:val="18"/>
              </w:rPr>
              <w:t xml:space="preserve">(s,Q) C</w:t>
            </w:r>
          </w:p>
        </w:tc>
      </w:tr>
      <w:tr>
        <w:trPr>
          <w:tblHeader w:val="false"/>
        </w:trPr>
        <w:tc>
          <w:tcPr>
            <w:tcW w:type="dxa" w:w="2438"/>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sz w:val="18"/>
                <w:szCs w:val="18"/>
              </w:rPr>
              <w:t xml:space="preserve">Base</w:t>
            </w:r>
          </w:p>
        </w:tc>
        <w:tc>
          <w:tcPr>
            <w:tcW w:type="dxa" w:w="12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right"/>
            </w:pPr>
            <w:r>
              <w:rPr>
                <w:rFonts w:ascii="Calibri" w:cs="Calibri" w:eastAsia="Calibri" w:hAnsi="Calibri"/>
                <w:sz w:val="18"/>
                <w:szCs w:val="18"/>
              </w:rPr>
              <w:t xml:space="preserve">70,2 %</w:t>
            </w:r>
          </w:p>
        </w:tc>
        <w:tc>
          <w:tcPr>
            <w:tcW w:type="dxa" w:w="12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right"/>
            </w:pPr>
            <w:r>
              <w:rPr>
                <w:rFonts w:ascii="Calibri" w:cs="Calibri" w:eastAsia="Calibri" w:hAnsi="Calibri"/>
                <w:sz w:val="18"/>
                <w:szCs w:val="18"/>
              </w:rPr>
              <w:t xml:space="preserve">20,0 %</w:t>
            </w:r>
          </w:p>
        </w:tc>
        <w:tc>
          <w:tcPr>
            <w:tcW w:type="dxa" w:w="12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right"/>
            </w:pPr>
            <w:r>
              <w:rPr>
                <w:rFonts w:ascii="Calibri" w:cs="Calibri" w:eastAsia="Calibri" w:hAnsi="Calibri"/>
                <w:sz w:val="18"/>
                <w:szCs w:val="18"/>
              </w:rPr>
              <w:t xml:space="preserve">10,7 %</w:t>
            </w:r>
          </w:p>
        </w:tc>
        <w:tc>
          <w:tcPr>
            <w:tcW w:type="dxa" w:w="12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right"/>
            </w:pPr>
            <w:r>
              <w:rPr>
                <w:rFonts w:ascii="Calibri" w:cs="Calibri" w:eastAsia="Calibri" w:hAnsi="Calibri"/>
                <w:sz w:val="18"/>
                <w:szCs w:val="18"/>
              </w:rPr>
              <w:t xml:space="preserve">64,9 %</w:t>
            </w:r>
          </w:p>
        </w:tc>
        <w:tc>
          <w:tcPr>
            <w:tcW w:type="dxa" w:w="12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right"/>
            </w:pPr>
            <w:r>
              <w:rPr>
                <w:rFonts w:ascii="Calibri" w:cs="Calibri" w:eastAsia="Calibri" w:hAnsi="Calibri"/>
                <w:sz w:val="18"/>
                <w:szCs w:val="18"/>
              </w:rPr>
              <w:t xml:space="preserve">−5,6 %</w:t>
            </w:r>
          </w:p>
        </w:tc>
        <w:tc>
          <w:tcPr>
            <w:tcW w:type="dxa" w:w="12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right"/>
            </w:pPr>
            <w:r>
              <w:rPr>
                <w:rFonts w:ascii="Calibri" w:cs="Calibri" w:eastAsia="Calibri" w:hAnsi="Calibri"/>
                <w:sz w:val="18"/>
                <w:szCs w:val="18"/>
              </w:rPr>
              <w:t xml:space="preserve">−13,0 %</w:t>
            </w:r>
          </w:p>
        </w:tc>
      </w:tr>
      <w:tr>
        <w:trPr>
          <w:tblHeader w:val="false"/>
        </w:trPr>
        <w:tc>
          <w:tcPr>
            <w:tcW w:type="dxa" w:w="2438"/>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sz w:val="18"/>
                <w:szCs w:val="18"/>
              </w:rPr>
              <w:t xml:space="preserve">Variabilité +20 %</w:t>
            </w:r>
          </w:p>
        </w:tc>
        <w:tc>
          <w:tcPr>
            <w:tcW w:type="dxa" w:w="12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right"/>
            </w:pPr>
            <w:r>
              <w:rPr>
                <w:rFonts w:ascii="Calibri" w:cs="Calibri" w:eastAsia="Calibri" w:hAnsi="Calibri"/>
                <w:sz w:val="18"/>
                <w:szCs w:val="18"/>
              </w:rPr>
              <w:t xml:space="preserve">65,4 %</w:t>
            </w:r>
          </w:p>
        </w:tc>
        <w:tc>
          <w:tcPr>
            <w:tcW w:type="dxa" w:w="12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right"/>
            </w:pPr>
            <w:r>
              <w:rPr>
                <w:rFonts w:ascii="Calibri" w:cs="Calibri" w:eastAsia="Calibri" w:hAnsi="Calibri"/>
                <w:sz w:val="18"/>
                <w:szCs w:val="18"/>
              </w:rPr>
              <w:t xml:space="preserve">21,3 %</w:t>
            </w:r>
          </w:p>
        </w:tc>
        <w:tc>
          <w:tcPr>
            <w:tcW w:type="dxa" w:w="12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right"/>
            </w:pPr>
            <w:r>
              <w:rPr>
                <w:rFonts w:ascii="Calibri" w:cs="Calibri" w:eastAsia="Calibri" w:hAnsi="Calibri"/>
                <w:sz w:val="18"/>
                <w:szCs w:val="18"/>
              </w:rPr>
              <w:t xml:space="preserve">16,2 %</w:t>
            </w:r>
          </w:p>
        </w:tc>
        <w:tc>
          <w:tcPr>
            <w:tcW w:type="dxa" w:w="12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right"/>
            </w:pPr>
            <w:r>
              <w:rPr>
                <w:rFonts w:ascii="Calibri" w:cs="Calibri" w:eastAsia="Calibri" w:hAnsi="Calibri"/>
                <w:sz w:val="18"/>
                <w:szCs w:val="18"/>
              </w:rPr>
              <w:t xml:space="preserve">63,4 %</w:t>
            </w:r>
          </w:p>
        </w:tc>
        <w:tc>
          <w:tcPr>
            <w:tcW w:type="dxa" w:w="12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right"/>
            </w:pPr>
            <w:r>
              <w:rPr>
                <w:rFonts w:ascii="Calibri" w:cs="Calibri" w:eastAsia="Calibri" w:hAnsi="Calibri"/>
                <w:sz w:val="18"/>
                <w:szCs w:val="18"/>
              </w:rPr>
              <w:t xml:space="preserve">−10,1 %</w:t>
            </w:r>
          </w:p>
        </w:tc>
        <w:tc>
          <w:tcPr>
            <w:tcW w:type="dxa" w:w="12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right"/>
            </w:pPr>
            <w:r>
              <w:rPr>
                <w:rFonts w:ascii="Calibri" w:cs="Calibri" w:eastAsia="Calibri" w:hAnsi="Calibri"/>
                <w:sz w:val="18"/>
                <w:szCs w:val="18"/>
              </w:rPr>
              <w:t xml:space="preserve">−9,7 %</w:t>
            </w:r>
          </w:p>
        </w:tc>
      </w:tr>
      <w:tr>
        <w:trPr>
          <w:tblHeader w:val="false"/>
        </w:trPr>
        <w:tc>
          <w:tcPr>
            <w:tcW w:type="dxa" w:w="2438"/>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sz w:val="18"/>
                <w:szCs w:val="18"/>
              </w:rPr>
              <w:t xml:space="preserve">Possession 15 %</w:t>
            </w:r>
          </w:p>
        </w:tc>
        <w:tc>
          <w:tcPr>
            <w:tcW w:type="dxa" w:w="12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right"/>
            </w:pPr>
            <w:r>
              <w:rPr>
                <w:rFonts w:ascii="Calibri" w:cs="Calibri" w:eastAsia="Calibri" w:hAnsi="Calibri"/>
                <w:sz w:val="18"/>
                <w:szCs w:val="18"/>
              </w:rPr>
              <w:t xml:space="preserve">73,1 %</w:t>
            </w:r>
          </w:p>
        </w:tc>
        <w:tc>
          <w:tcPr>
            <w:tcW w:type="dxa" w:w="12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right"/>
            </w:pPr>
            <w:r>
              <w:rPr>
                <w:rFonts w:ascii="Calibri" w:cs="Calibri" w:eastAsia="Calibri" w:hAnsi="Calibri"/>
                <w:sz w:val="18"/>
                <w:szCs w:val="18"/>
              </w:rPr>
              <w:t xml:space="preserve">21,6 %</w:t>
            </w:r>
          </w:p>
        </w:tc>
        <w:tc>
          <w:tcPr>
            <w:tcW w:type="dxa" w:w="12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right"/>
            </w:pPr>
            <w:r>
              <w:rPr>
                <w:rFonts w:ascii="Calibri" w:cs="Calibri" w:eastAsia="Calibri" w:hAnsi="Calibri"/>
                <w:sz w:val="18"/>
                <w:szCs w:val="18"/>
              </w:rPr>
              <w:t xml:space="preserve">11,5 %</w:t>
            </w:r>
          </w:p>
        </w:tc>
        <w:tc>
          <w:tcPr>
            <w:tcW w:type="dxa" w:w="12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right"/>
            </w:pPr>
            <w:r>
              <w:rPr>
                <w:rFonts w:ascii="Calibri" w:cs="Calibri" w:eastAsia="Calibri" w:hAnsi="Calibri"/>
                <w:sz w:val="18"/>
                <w:szCs w:val="18"/>
              </w:rPr>
              <w:t xml:space="preserve">67,3 %</w:t>
            </w:r>
          </w:p>
        </w:tc>
        <w:tc>
          <w:tcPr>
            <w:tcW w:type="dxa" w:w="12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right"/>
            </w:pPr>
            <w:r>
              <w:rPr>
                <w:rFonts w:ascii="Calibri" w:cs="Calibri" w:eastAsia="Calibri" w:hAnsi="Calibri"/>
                <w:sz w:val="18"/>
                <w:szCs w:val="18"/>
              </w:rPr>
              <w:t xml:space="preserve">−10,6 %</w:t>
            </w:r>
          </w:p>
        </w:tc>
        <w:tc>
          <w:tcPr>
            <w:tcW w:type="dxa" w:w="12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right"/>
            </w:pPr>
            <w:r>
              <w:rPr>
                <w:rFonts w:ascii="Calibri" w:cs="Calibri" w:eastAsia="Calibri" w:hAnsi="Calibri"/>
                <w:sz w:val="18"/>
                <w:szCs w:val="18"/>
              </w:rPr>
              <w:t xml:space="preserve">−20,2 %</w:t>
            </w:r>
          </w:p>
        </w:tc>
      </w:tr>
      <w:tr>
        <w:trPr>
          <w:tblHeader w:val="false"/>
        </w:trPr>
        <w:tc>
          <w:tcPr>
            <w:tcW w:type="dxa" w:w="2438"/>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sz w:val="18"/>
                <w:szCs w:val="18"/>
              </w:rPr>
              <w:t xml:space="preserve">Possession 25 %</w:t>
            </w:r>
          </w:p>
        </w:tc>
        <w:tc>
          <w:tcPr>
            <w:tcW w:type="dxa" w:w="12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right"/>
            </w:pPr>
            <w:r>
              <w:rPr>
                <w:rFonts w:ascii="Calibri" w:cs="Calibri" w:eastAsia="Calibri" w:hAnsi="Calibri"/>
                <w:sz w:val="18"/>
                <w:szCs w:val="18"/>
              </w:rPr>
              <w:t xml:space="preserve">67,4 %</w:t>
            </w:r>
          </w:p>
        </w:tc>
        <w:tc>
          <w:tcPr>
            <w:tcW w:type="dxa" w:w="12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right"/>
            </w:pPr>
            <w:r>
              <w:rPr>
                <w:rFonts w:ascii="Calibri" w:cs="Calibri" w:eastAsia="Calibri" w:hAnsi="Calibri"/>
                <w:sz w:val="18"/>
                <w:szCs w:val="18"/>
              </w:rPr>
              <w:t xml:space="preserve">18,9 %</w:t>
            </w:r>
          </w:p>
        </w:tc>
        <w:tc>
          <w:tcPr>
            <w:tcW w:type="dxa" w:w="12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right"/>
            </w:pPr>
            <w:r>
              <w:rPr>
                <w:rFonts w:ascii="Calibri" w:cs="Calibri" w:eastAsia="Calibri" w:hAnsi="Calibri"/>
                <w:sz w:val="18"/>
                <w:szCs w:val="18"/>
              </w:rPr>
              <w:t xml:space="preserve">10,2 %</w:t>
            </w:r>
          </w:p>
        </w:tc>
        <w:tc>
          <w:tcPr>
            <w:tcW w:type="dxa" w:w="12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right"/>
            </w:pPr>
            <w:r>
              <w:rPr>
                <w:rFonts w:ascii="Calibri" w:cs="Calibri" w:eastAsia="Calibri" w:hAnsi="Calibri"/>
                <w:sz w:val="18"/>
                <w:szCs w:val="18"/>
              </w:rPr>
              <w:t xml:space="preserve">62,6 %</w:t>
            </w:r>
          </w:p>
        </w:tc>
        <w:tc>
          <w:tcPr>
            <w:tcW w:type="dxa" w:w="12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right"/>
            </w:pPr>
            <w:r>
              <w:rPr>
                <w:rFonts w:ascii="Calibri" w:cs="Calibri" w:eastAsia="Calibri" w:hAnsi="Calibri"/>
                <w:sz w:val="18"/>
                <w:szCs w:val="18"/>
              </w:rPr>
              <w:t xml:space="preserve">−2,1 %</w:t>
            </w:r>
          </w:p>
        </w:tc>
        <w:tc>
          <w:tcPr>
            <w:tcW w:type="dxa" w:w="12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right"/>
            </w:pPr>
            <w:r>
              <w:rPr>
                <w:rFonts w:ascii="Calibri" w:cs="Calibri" w:eastAsia="Calibri" w:hAnsi="Calibri"/>
                <w:sz w:val="18"/>
                <w:szCs w:val="18"/>
              </w:rPr>
              <w:t xml:space="preserve">−8,5 %</w:t>
            </w:r>
          </w:p>
        </w:tc>
      </w:tr>
      <w:tr>
        <w:trPr>
          <w:tblHeader w:val="false"/>
        </w:trPr>
        <w:tc>
          <w:tcPr>
            <w:tcW w:type="dxa" w:w="2438"/>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left"/>
            </w:pPr>
            <w:r>
              <w:rPr>
                <w:rFonts w:ascii="Calibri" w:cs="Calibri" w:eastAsia="Calibri" w:hAnsi="Calibri"/>
                <w:sz w:val="18"/>
                <w:szCs w:val="18"/>
              </w:rPr>
              <w:t xml:space="preserve">Durée de vie −1 jour</w:t>
            </w:r>
          </w:p>
        </w:tc>
        <w:tc>
          <w:tcPr>
            <w:tcW w:type="dxa" w:w="12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right"/>
            </w:pPr>
            <w:r>
              <w:rPr>
                <w:rFonts w:ascii="Calibri" w:cs="Calibri" w:eastAsia="Calibri" w:hAnsi="Calibri"/>
                <w:sz w:val="18"/>
                <w:szCs w:val="18"/>
              </w:rPr>
              <w:t xml:space="preserve">61,5 %</w:t>
            </w:r>
          </w:p>
        </w:tc>
        <w:tc>
          <w:tcPr>
            <w:tcW w:type="dxa" w:w="12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right"/>
            </w:pPr>
            <w:r>
              <w:rPr>
                <w:rFonts w:ascii="Calibri" w:cs="Calibri" w:eastAsia="Calibri" w:hAnsi="Calibri"/>
                <w:sz w:val="18"/>
                <w:szCs w:val="18"/>
              </w:rPr>
              <w:t xml:space="preserve">19,4 %</w:t>
            </w:r>
          </w:p>
        </w:tc>
        <w:tc>
          <w:tcPr>
            <w:tcW w:type="dxa" w:w="12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right"/>
            </w:pPr>
            <w:r>
              <w:rPr>
                <w:rFonts w:ascii="Calibri" w:cs="Calibri" w:eastAsia="Calibri" w:hAnsi="Calibri"/>
                <w:sz w:val="18"/>
                <w:szCs w:val="18"/>
              </w:rPr>
              <w:t xml:space="preserve">10,7 %</w:t>
            </w:r>
          </w:p>
        </w:tc>
        <w:tc>
          <w:tcPr>
            <w:tcW w:type="dxa" w:w="12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right"/>
            </w:pPr>
            <w:r>
              <w:rPr>
                <w:rFonts w:ascii="Calibri" w:cs="Calibri" w:eastAsia="Calibri" w:hAnsi="Calibri"/>
                <w:sz w:val="18"/>
                <w:szCs w:val="18"/>
              </w:rPr>
              <w:t xml:space="preserve">65,1 %</w:t>
            </w:r>
          </w:p>
        </w:tc>
        <w:tc>
          <w:tcPr>
            <w:tcW w:type="dxa" w:w="12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right"/>
            </w:pPr>
            <w:r>
              <w:rPr>
                <w:rFonts w:ascii="Calibri" w:cs="Calibri" w:eastAsia="Calibri" w:hAnsi="Calibri"/>
                <w:sz w:val="18"/>
                <w:szCs w:val="18"/>
              </w:rPr>
              <w:t xml:space="preserve">−8,8 %</w:t>
            </w:r>
          </w:p>
        </w:tc>
        <w:tc>
          <w:tcPr>
            <w:tcW w:type="dxa" w:w="1200"/>
            <w:tcBorders>
              <w:top w:val="single" w:color="C9D3DD" w:sz="4"/>
              <w:left w:val="single" w:color="C9D3DD" w:sz="4"/>
              <w:bottom w:val="single" w:color="C9D3DD" w:sz="4"/>
              <w:right w:val="single" w:color="C9D3DD" w:sz="4"/>
            </w:tcBorders>
            <w:tcMar>
              <w:top w:type="dxa" w:w="50"/>
              <w:left w:type="dxa" w:w="80"/>
              <w:bottom w:type="dxa" w:w="50"/>
              <w:right w:type="dxa" w:w="80"/>
            </w:tcMar>
          </w:tcPr>
          <w:p>
            <w:pPr>
              <w:jc w:val="right"/>
            </w:pPr>
            <w:r>
              <w:rPr>
                <w:rFonts w:ascii="Calibri" w:cs="Calibri" w:eastAsia="Calibri" w:hAnsi="Calibri"/>
                <w:sz w:val="18"/>
                <w:szCs w:val="18"/>
              </w:rPr>
              <w:t xml:space="preserve">−13,3 %</w:t>
            </w:r>
          </w:p>
        </w:tc>
      </w:tr>
    </w:tbl>
    <w:p>
      <w:pPr>
        <w:spacing w:after="120"/>
        <w:jc w:val="left"/>
      </w:pPr>
      <w:r>
        <w:rPr>
          <w:rFonts w:ascii="Calibri" w:cs="Calibri" w:eastAsia="Calibri" w:hAnsi="Calibri"/>
          <w:i/>
          <w:iCs/>
          <w:color w:val="5F6B76"/>
          <w:sz w:val="18"/>
          <w:szCs w:val="18"/>
        </w:rPr>
        <w:t xml:space="preserve">Tableau 2. Économie de coût moyenne par rapport à la couverture fixe retenue (positif : la politique est moins chère). La ligne « Base » diffère légèrement du tableau 1 car elle repose sur 30 réplications au lieu de 100.</w:t>
      </w:r>
    </w:p>
    <w:p>
      <w:pPr>
        <w:spacing w:after="100" w:line="276"/>
      </w:pPr>
      <w:r>
        <w:rPr>
          <w:rFonts w:ascii="Calibri" w:cs="Calibri" w:eastAsia="Calibri" w:hAnsi="Calibri"/>
          <w:sz w:val="21"/>
          <w:szCs w:val="21"/>
        </w:rPr>
        <w:t xml:space="preserve">Seule la durée de vie raccourcie change un peu les ordres de grandeur : les pertes de la référence en classe A passent à 0,6 % et l’avantage du (R,S) y baisse à 61,5 %. Le compromis entre ruptures et péremption ne devient sensible que si les produits vivent moins longtemps ou si les lots sont plus gros.</w:t>
      </w:r>
    </w:p>
    <w:p>
      <w:pPr>
        <w:pStyle w:val="Heading1"/>
        <w:spacing w:after="90" w:before="220"/>
      </w:pPr>
      <w:r>
        <w:rPr>
          <w:rFonts w:ascii="Calibri" w:cs="Calibri" w:eastAsia="Calibri" w:hAnsi="Calibri"/>
          <w:b/>
          <w:bCs/>
          <w:color w:val="1D4E89"/>
          <w:sz w:val="26"/>
          <w:szCs w:val="26"/>
        </w:rPr>
        <w:t xml:space="preserve">6. Limites et suites</w:t>
      </w:r>
    </w:p>
    <w:p>
      <w:pPr>
        <w:pStyle w:val="ListParagraph"/>
        <w:numPr>
          <w:ilvl w:val="0"/>
          <w:numId w:val="2"/>
        </w:numPr>
        <w:spacing w:after="50" w:line="270"/>
      </w:pPr>
      <w:r>
        <w:rPr>
          <w:rFonts w:ascii="Calibri" w:cs="Calibri" w:eastAsia="Calibri" w:hAnsi="Calibri"/>
          <w:sz w:val="21"/>
          <w:szCs w:val="21"/>
        </w:rPr>
        <w:t xml:space="preserve">Les données sont simulées : l’ordre de grandeur des économies dépend des hypothèses de coût, notamment du fait qu’une vente perdue coûte uniquement sa marge (pas de perte de clientèle, pas de substitution).</w:t>
      </w:r>
    </w:p>
    <w:p>
      <w:pPr>
        <w:pStyle w:val="ListParagraph"/>
        <w:numPr>
          <w:ilvl w:val="0"/>
          <w:numId w:val="2"/>
        </w:numPr>
        <w:spacing w:after="50" w:line="270"/>
      </w:pPr>
      <w:r>
        <w:rPr>
          <w:rFonts w:ascii="Calibri" w:cs="Calibri" w:eastAsia="Calibri" w:hAnsi="Calibri"/>
          <w:sz w:val="21"/>
          <w:szCs w:val="21"/>
        </w:rPr>
        <w:t xml:space="preserve">Le délai est fixe, il n’y a qu’un site, les ventes manquées sont perdues et la perte de durée de vie à la réception est constante (2 jours). Un délai variable est l’extension la plus utile.</w:t>
      </w:r>
    </w:p>
    <w:p>
      <w:pPr>
        <w:pStyle w:val="ListParagraph"/>
        <w:numPr>
          <w:ilvl w:val="0"/>
          <w:numId w:val="2"/>
        </w:numPr>
        <w:spacing w:after="50" w:line="270"/>
      </w:pPr>
      <w:r>
        <w:rPr>
          <w:rFonts w:ascii="Calibri" w:cs="Calibri" w:eastAsia="Calibri" w:hAnsi="Calibri"/>
          <w:sz w:val="21"/>
          <w:szCs w:val="21"/>
        </w:rPr>
        <w:t xml:space="preserve">La grille est limitée : le (s,Q) de la classe A est au bord de la grille (service 99 %), un niveau plus élevé pourrait être légèrement meilleur. Les cibles de service par classe sont des choix.</w:t>
      </w:r>
    </w:p>
    <w:p>
      <w:pPr>
        <w:pStyle w:val="ListParagraph"/>
        <w:numPr>
          <w:ilvl w:val="0"/>
          <w:numId w:val="2"/>
        </w:numPr>
        <w:spacing w:after="50" w:line="270"/>
      </w:pPr>
      <w:r>
        <w:rPr>
          <w:rFonts w:ascii="Calibri" w:cs="Calibri" w:eastAsia="Calibri" w:hAnsi="Calibri"/>
          <w:sz w:val="21"/>
          <w:szCs w:val="21"/>
        </w:rPr>
        <w:t xml:space="preserve">Le simulateur ne dépend pas de l’origine de la demande : brancher des données publiques de ventes (par exemple M5 Forecasting) ou des données d’entreprise ne change que l’étape d’estimation.</w:t>
      </w:r>
    </w:p>
    <w:p>
      <w:pPr>
        <w:spacing w:after="60" w:before="100"/>
      </w:pPr>
      <w:r>
        <w:rPr>
          <w:rFonts w:ascii="Calibri" w:cs="Calibri" w:eastAsia="Calibri" w:hAnsi="Calibri"/>
          <w:b/>
          <w:bCs/>
          <w:sz w:val="21"/>
          <w:szCs w:val="21"/>
        </w:rPr>
        <w:t xml:space="preserve">Reproductibilité. </w:t>
      </w:r>
      <w:r>
        <w:rPr>
          <w:rFonts w:ascii="Calibri" w:cs="Calibri" w:eastAsia="Calibri" w:hAnsi="Calibri"/>
          <w:sz w:val="21"/>
          <w:szCs w:val="21"/>
        </w:rPr>
        <w:t xml:space="preserve">Dépôt GitHub avec le générateur de données, les politiques, le simulateur testé, le tableau de bord Streamlit et ce rapport ; avec la graine fixe, les chiffres se retrouvent à l’identique.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F6B76"/>
        <w:sz w:val="16"/>
        <w:szCs w:val="16"/>
      </w:rPr>
      <w:t xml:space="preserve">Page </w:t>
    </w:r>
    <w:r>
      <w:rPr>
        <w:rFonts w:ascii="Calibri" w:cs="Calibri" w:eastAsia="Calibri" w:hAnsi="Calibri"/>
        <w:color w:val="5F6B7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4b2b80b0c82066c09cfade5c8cfb909dcf496bf.png"/><Relationship Id="rId9" Type="http://schemas.openxmlformats.org/officeDocument/2006/relationships/image" Target="media/16ea8e50630d9d18536607fff4a143094c40cee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Pilotage des stocks de produits périssables par simulation</dc:title>
  <dc:creator>Sara El Masmoudy</dc:creator>
  <cp:lastModifiedBy>Un-named</cp:lastModifiedBy>
  <cp:revision>1</cp:revision>
  <dcterms:created xsi:type="dcterms:W3CDTF">2026-10-16T19:29:08.678Z</dcterms:created>
  <dcterms:modified xsi:type="dcterms:W3CDTF">2026-10-16T19:29:08.678Z</dcterms:modified>
</cp:coreProperties>
</file>

<file path=docProps/custom.xml><?xml version="1.0" encoding="utf-8"?>
<Properties xmlns="http://schemas.openxmlformats.org/officeDocument/2006/custom-properties" xmlns:vt="http://schemas.openxmlformats.org/officeDocument/2006/docPropsVTypes"/>
</file>