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Highlights</w:t>
      </w:r>
    </w:p>
    <w:p>
      <w:pPr>
        <w:pStyle w:val="ListBullet"/>
      </w:pPr>
      <w:r>
        <w:t>TDP-43 knockdown reduced a SOCE-associated Ca²⁺ response in SH-SY5Y cells.</w:t>
      </w:r>
    </w:p>
    <w:p>
      <w:pPr>
        <w:pStyle w:val="ListBullet"/>
      </w:pPr>
      <w:r>
        <w:t>TRPC1, STIM1, ORAI1 and ATP2A3 mRNAs increased after knockdown.</w:t>
      </w:r>
    </w:p>
    <w:p>
      <w:pPr>
        <w:pStyle w:val="ListBullet"/>
      </w:pPr>
      <w:r>
        <w:t>CBARP splicing changed in five of six RNA-seq comparisons.</w:t>
      </w:r>
    </w:p>
    <w:p>
      <w:pPr>
        <w:pStyle w:val="ListBullet"/>
      </w:pPr>
      <w:r>
        <w:t>TRPC1 and SARAF increased in six ALS brain regions.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