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brain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Reporting guidelines for quantitative PCR recommend at least two validated reference genes; the single-reference design is therefore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ER Ca²⁺ release fell less and not significantly, from 0.268 ± 0.042 to 0.180 ± 0.061 (difference −0.09, 95% CI −0.30 to +0.13; p = 0.31). Because both phases come from the same recording, readdition was also expressed relative to each culture’s own release. This ratio was 5.88 ± 1.10 in controls and 1.36 ± 0.01 after knockdown, 77% lower,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the three independent cultures per group and mean ± SEM (readdition, Welch’s t-test p = 0.035; ER release, p = 0.31). (E) The recordings in A and B replotted from their exported ratio values on common axes, with time aligned to the steepest point of the readdition rise.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both human models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SOCE-machinery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Permissive-tier and annotated-site events are detailed in Supplementary Table S7 and Figure S4B.</w:t>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was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The junction-level PSI is the share of the single downstream junction among all junctions leaving that donor, which makes it the more sensitive and the noisier measure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Excluding CIGAR reference skips affected this positive control: including them would have changed the STMN2 intron 2 index difference from +0.145 to +0.489. In the primary SH-SY5Y model, the skip-excluded index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3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3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of ten multiple sclerosis donors with NAWM samples versus five control donors, δ = −0.771, uncorrected p = 0.030). In the full GSE138614 sample-level comparison, regression of TRPC1 on MBP, PLP1 and GFAP attenuated the unadjusted difference from δ = −0.562 to Cliff’s δ of −0.418 on the residuals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and the readdition signal was not characterised pharmacologically, for example with an ORAI channel inhibitor. The WST-1 signal is reported at 48 h only, from four wells of one experiment; it is not a cell count and cannot separate fewer cells from lower metabolic activity per cell.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v1.0.4 at https://github.com/elmasnuryilmaz/tdp43-soce-manuscript/releases/tag/v1.0.4.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w:t>
      </w:r>
      <w:r>
        <w:t xml:space="preserve"/>
      </w:r>
      <w:r>
        <w:t xml:space="preserve">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