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560"/>
        <w:jc w:val="center"/>
        <w:rPr>
          <w:b w:val="1"/>
        </w:rPr>
      </w:pPr>
      <w:r>
        <w:rPr>
          <w:rFonts w:ascii="Arial" w:hAnsi="Arial" w:eastAsia="Arial"/>
          <w:b w:val="1"/>
          <w:color w:val="000000"/>
          <w:sz w:val="44"/>
        </w:rPr>
        <w:t>Supplementary Material</w:t>
      </w:r>
    </w:p>
    <w:p>
      <w:pPr>
        <w:spacing w:before="160" w:after="440"/>
        <w:jc w:val="center"/>
      </w:pPr>
      <w:r>
        <w:rPr>
          <w:rFonts w:ascii="Arial" w:hAnsi="Arial" w:eastAsia="Arial"/>
          <w:b/>
          <w:color w:val="000000"/>
          <w:sz w:val="28"/>
        </w:rPr>
        <w:t>TDP-43 knockdown is associated with reduced store-operated Ca²⁺ entry and altered calcium-regulatory RNA profiles in SH-SY5Y cells</w:t>
      </w:r>
    </w:p>
    <w:p>
      <w:pPr>
        <w:spacing w:after="160"/>
        <w:jc w:val="center"/>
      </w:pPr>
      <w:r>
        <w:rPr>
          <w:rFonts w:ascii="Arial" w:hAnsi="Arial" w:eastAsia="Arial"/>
          <w:b/>
          <w:color w:val="000000"/>
          <w:sz w:val="23"/>
        </w:rPr>
        <w:t>Elmasnur Yılmazᵃ, Yasemin Eraçᵃ,*</w:t>
      </w:r>
    </w:p>
    <w:p>
      <w:pPr>
        <w:spacing w:after="120"/>
        <w:jc w:val="center"/>
      </w:pPr>
      <w:r>
        <w:rPr>
          <w:rFonts w:ascii="Arial" w:hAnsi="Arial" w:eastAsia="Arial"/>
          <w:color w:val="000000"/>
          <w:sz w:val="20"/>
        </w:rPr>
        <w:t>ᵃ Department of Pharmacology, Faculty of Pharmacy, Ege University, Erzene Mahallesi, Ankara Caddesi No: 172/98, 35040 Bornova, İzmir, Türkiye</w:t>
      </w:r>
    </w:p>
    <w:p>
      <w:pPr>
        <w:spacing w:after="680"/>
        <w:jc w:val="center"/>
      </w:pPr>
      <w:r>
        <w:rPr>
          <w:rFonts w:ascii="Arial" w:hAnsi="Arial" w:eastAsia="Arial"/>
          <w:color w:val="000000"/>
          <w:sz w:val="20"/>
        </w:rPr>
        <w:t>* Corresponding author: Yasemin Eraç, yasemin.erac@ege.edu.tr</w:t>
      </w:r>
    </w:p>
    <w:p>
      <w:pPr>
        <w:spacing w:after="160"/>
        <w:jc w:val="center"/>
        <w:rPr>
          <w:b w:val="1"/>
        </w:rPr>
      </w:pPr>
      <w:r>
        <w:rPr>
          <w:rFonts w:ascii="Arial" w:hAnsi="Arial" w:eastAsia="Arial"/>
          <w:b w:val="1"/>
          <w:color w:val="000000"/>
          <w:sz w:val="24"/>
        </w:rPr>
        <w:t>Contents</w:t>
      </w:r>
    </w:p>
    <w:p>
      <w:pPr>
        <w:tabs>
          <w:tab w:pos="6552" w:val="right"/>
        </w:tabs>
        <w:spacing w:after="100"/>
        <w:ind w:left="1512" w:right="1512"/>
      </w:pPr>
      <w:r>
        <w:rPr>
          <w:rFonts w:ascii="Arial" w:hAnsi="Arial" w:eastAsia="Arial"/>
          <w:b/>
          <w:color w:val="000000"/>
          <w:sz w:val="20"/>
        </w:rPr>
        <w:t>Supplementary data files</w:t>
      </w:r>
      <w:r>
        <w:rPr>
          <w:rFonts w:ascii="Arial" w:hAnsi="Arial" w:eastAsia="Arial"/>
          <w:color w:val="000000"/>
          <w:sz w:val="20"/>
        </w:rPr>
        <w:tab/>
        <w:t>S1–S17</w:t>
      </w:r>
    </w:p>
    <w:p>
      <w:pPr>
        <w:tabs>
          <w:tab w:pos="6552" w:val="right"/>
        </w:tabs>
        <w:spacing w:after="100"/>
        <w:ind w:left="1512" w:right="1512"/>
      </w:pPr>
      <w:r>
        <w:rPr>
          <w:rFonts w:ascii="Arial" w:hAnsi="Arial" w:eastAsia="Arial"/>
          <w:b/>
          <w:color w:val="000000"/>
          <w:sz w:val="20"/>
        </w:rPr>
        <w:t>Supplementary figures</w:t>
      </w:r>
      <w:r>
        <w:rPr>
          <w:rFonts w:ascii="Arial" w:hAnsi="Arial" w:eastAsia="Arial"/>
          <w:color w:val="000000"/>
          <w:sz w:val="20"/>
        </w:rPr>
        <w:tab/>
        <w:t>S1–S8</w:t>
      </w:r>
    </w:p>
    <w:p>
      <w:r>
        <w:br w:type="page"/>
      </w:r>
    </w:p>
    <w:p>
      <w:pPr>
        <w:pStyle w:val="Heading1"/>
        <w:rPr>
          <w:b w:val="1"/>
        </w:rPr>
        <w:jc w:val="left"/>
      </w:pPr>
      <w:r>
        <w:rPr>
          <w:b w:val="1"/>
        </w:rPr>
        <w:t>Supplementary data files</w:t>
      </w:r>
    </w:p>
    <w:p>
      <w:pPr>
        <w:spacing w:after="200"/>
        <w:jc w:val="both"/>
      </w:pPr>
      <w:r>
        <w:t>The machine-readable files listed below accompany the manuscript and provide the source values, event-level results and cohort-level analyses used in the main text and supplementary figures.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S1. </w:t>
      </w:r>
      <w:r>
        <w:rPr>
          <w:rFonts w:ascii="Arial" w:hAnsi="Arial" w:eastAsia="Arial"/>
          <w:color w:val="000000"/>
          <w:sz w:val="19"/>
        </w:rPr>
        <w:t>Laboratory source data: raw Ct values and per-replicate relative expression, Fura-2 amplitudes, 48-h normalised WST-1 signal values, primer sequences and thermal profile, and the summary statistics behind Figures 1 and 2.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S2. </w:t>
      </w:r>
      <w:r>
        <w:rPr>
          <w:rFonts w:ascii="Arial" w:hAnsi="Arial" w:eastAsia="Arial"/>
          <w:color w:val="000000"/>
          <w:sz w:val="19"/>
        </w:rPr>
        <w:t>Ca²⁺ gene panels (four cumulative sets).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S3. </w:t>
      </w:r>
      <w:r>
        <w:rPr>
          <w:rFonts w:ascii="Arial" w:hAnsi="Arial" w:eastAsia="Arial"/>
          <w:color w:val="000000"/>
          <w:sz w:val="19"/>
        </w:rPr>
        <w:t>rMATS events meeting FDR &lt; 0.05 and |ΔPSI| ≥ 0.10, JC and JCEC, six datasets, with the raw junction counts needed to reproduce the coverage pre-filter.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S4. </w:t>
      </w:r>
      <w:r>
        <w:rPr>
          <w:rFonts w:ascii="Arial" w:hAnsi="Arial" w:eastAsia="Arial"/>
          <w:color w:val="000000"/>
          <w:sz w:val="19"/>
        </w:rPr>
        <w:t>Matched permutation enrichment results, all datasets and panels.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S5. </w:t>
      </w:r>
      <w:r>
        <w:rPr>
          <w:rFonts w:ascii="Arial" w:hAnsi="Arial" w:eastAsia="Arial"/>
          <w:color w:val="000000"/>
          <w:sz w:val="19"/>
        </w:rPr>
        <w:t>High-confidence unannotated splicing changes in every comparison, including the independently produced mapping-quality-filtered SH-SY5Y junction set.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S6. </w:t>
      </w:r>
      <w:r>
        <w:rPr>
          <w:rFonts w:ascii="Arial" w:hAnsi="Arial" w:eastAsia="Arial"/>
          <w:color w:val="000000"/>
          <w:sz w:val="19"/>
        </w:rPr>
        <w:t>Cryptic positive controls, the sixteen literature genes, and the dataset × gene recovery matrix for the human comparisons.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S7. </w:t>
      </w:r>
      <w:r>
        <w:rPr>
          <w:rFonts w:ascii="Arial" w:hAnsi="Arial" w:eastAsia="Arial"/>
          <w:color w:val="000000"/>
          <w:sz w:val="19"/>
        </w:rPr>
        <w:t>SOCE genes in the annotation-free 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S8. </w:t>
      </w:r>
      <w:r>
        <w:rPr>
          <w:rFonts w:ascii="Arial" w:hAnsi="Arial" w:eastAsia="Arial"/>
          <w:color w:val="000000"/>
          <w:sz w:val="19"/>
        </w:rPr>
        <w:t>Cryptic STMN2 PSI in ALS versus control by region (NYGC).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S9. </w:t>
      </w:r>
      <w:r>
        <w:rPr>
          <w:rFonts w:ascii="Arial" w:hAnsi="Arial" w:eastAsia="Arial"/>
          <w:color w:val="000000"/>
          <w:sz w:val="19"/>
        </w:rPr>
        <w:t>Correlations of both TDP-43 proxies with target genes within ALS samples; the in_correction_family column marks the 220 informative tests over which the Benjamini–Hochberg correction was applied.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S10. </w:t>
      </w:r>
      <w:r>
        <w:rPr>
          <w:rFonts w:ascii="Arial" w:hAnsi="Arial" w:eastAsia="Arial"/>
          <w:color w:val="000000"/>
          <w:sz w:val="19"/>
        </w:rPr>
        <w:t>Nonsense-mediated decay interaction for the SOCE panel and the panel-level tests, four-condition 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S11. </w:t>
      </w:r>
      <w:r>
        <w:rPr>
          <w:rFonts w:ascii="Arial" w:hAnsi="Arial" w:eastAsia="Arial"/>
          <w:color w:val="000000"/>
          <w:sz w:val="19"/>
        </w:rPr>
        <w:t>Depth-qualified intronic polyadenylation and 3′UTR usage estimates in all four comparisons, with the genomic windows of every unit; these are coverage gradients, not direct poly(A)-site calls.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S12. </w:t>
      </w:r>
      <w:r>
        <w:rPr>
          <w:rFonts w:ascii="Arial" w:hAnsi="Arial" w:eastAsia="Arial"/>
          <w:color w:val="000000"/>
          <w:sz w:val="19"/>
        </w:rPr>
        <w:t>Machine-readable version of Table 3: cryptic event counts by comparison, with the FUS and TAF15 knockdown controls and the null-test ratios.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S13. </w:t>
      </w:r>
      <w:r>
        <w:rPr>
          <w:rFonts w:ascii="Arial" w:hAnsi="Arial" w:eastAsia="Arial"/>
          <w:color w:val="000000"/>
          <w:sz w:val="19"/>
        </w:rPr>
        <w:t>STIM2 SOAR exon measured at junction level, with both flanking junctions, in every comparison in which it was measurable.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S14. </w:t>
      </w:r>
      <w:r>
        <w:rPr>
          <w:rFonts w:ascii="Arial" w:hAnsi="Arial" w:eastAsia="Arial"/>
          <w:color w:val="000000"/>
          <w:sz w:val="19"/>
        </w:rPr>
        <w:t>Control-versus-control null test of the cryptic calling procedure, under the permissive definition and three stricter thresholds.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S15. </w:t>
      </w:r>
      <w:r>
        <w:rPr>
          <w:rFonts w:ascii="Arial" w:hAnsi="Arial" w:eastAsia="Arial"/>
          <w:color w:val="000000"/>
          <w:sz w:val="19"/>
        </w:rPr>
        <w:t>The same STIM2.1/SOAR exon measured as an rMATS event, with per-replicate PSI and bootstrap intervals, across six datasets, the estimate compared with S13 in Section 3.5.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S16. </w:t>
      </w:r>
      <w:r>
        <w:rPr>
          <w:rFonts w:ascii="Arial" w:hAnsi="Arial" w:eastAsia="Arial"/>
          <w:color w:val="000000"/>
          <w:sz w:val="19"/>
        </w:rPr>
        <w:t>Multiple sclerosis analysis, both cohorts, with myelin adjustment and the donor-level re-analysis.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S17. </w:t>
      </w:r>
      <w:r>
        <w:rPr>
          <w:rFonts w:ascii="Arial" w:hAnsi="Arial" w:eastAsia="Arial"/>
          <w:color w:val="000000"/>
          <w:sz w:val="19"/>
        </w:rPr>
        <w:t>Accession list for every dataset analysed, with design, library type, run-level groups for knockdown experiments and group definitions for patient cohorts.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S1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4067503"/>
            <wp:docPr id="1" name="Picture 1" title="Supplementary Figure S1" descr="Supplementary Figure S1. Detection power for splicing events. Simulated detection power for a three-versus-three design over observed coverage levels and true ΔPSI values from 0.05 to 0.30. The horizontal line marks 80% power and the vertical line marks |ΔPSI| = 0.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1_detection_po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67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S1. </w:t>
      </w:r>
      <w:r>
        <w:rPr>
          <w:rFonts w:ascii="Arial" w:hAnsi="Arial" w:eastAsia="Arial"/>
          <w:color w:val="000000"/>
          <w:sz w:val="18"/>
        </w:rPr>
        <w:t>Detection power for splicing events. Simulated detection power for a three-versus-three design over observed coverage levels and true ΔPSI values from 0.05 to 0.30. The horizontal line marks 80% power and the vertical line marks |ΔPSI| = 0.10.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S2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5893372"/>
            <wp:docPr id="2" name="Picture 2" title="Supplementary Figure S2" descr="Supplementary Figure S2. Replicate-level assessment of a TRPC1 skipped-exon call. (A) Individual PSI values with inclusion/skipping junction counts. (B) Bootstrap distribution of ΔPSI from 20,000 resamples; the 95% interval includes zero. (C) Leave-one-out estimates; removing one control replicate reverses the sign. The event is presented as an example of a conventional call that fails the additional robustness criteri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2_TRPC1_robust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89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S2. </w:t>
      </w:r>
      <w:r>
        <w:rPr>
          <w:rFonts w:ascii="Arial" w:hAnsi="Arial" w:eastAsia="Arial"/>
          <w:color w:val="000000"/>
          <w:sz w:val="18"/>
        </w:rPr>
        <w:t>Replicate-level assessment of a TRPC1 skipped-exon call. (A) Individual PSI values with inclusion/skipping junction counts. (B) Bootstrap distribution of ΔPSI from 20,000 resamples; the 95% interval includes zero. (C) Leave-one-out estimates; removing one control replicate reverses the sign. The event is presented as an example of a conventional call that fails the additional robustness criteria.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S3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5970645"/>
            <wp:docPr id="3" name="Picture 3" title="Supplementary Figure S3" descr="Supplementary Figure S3. CBARP exon 4–exon 5 region after TDP-43 depletion. (A) Sashimi plot of the public SH-SY5Y comparison (0 versus 75 ng/mL doxycycline, three libraries per group) and of iPSC colonies (four libraries per group), drawn from the alignments; the minus-strand gene is shown 5′→3′. Filled profiles are the mean per-base read depth of the libraries in each group, and each track has its own y-axis. Arcs show split reads summed over the libraries of a group, with width proportional to the junction’s share of reads at its shared splice site. Reads were counted with the junction rules of Methods 2.5 (MAPQ ≥ 30, primary non-duplicate alignments, 8 bp anchors); the SH-SY5Y counts are those of the local-splicing-variation test in Section 3.5. Junction a is the canonical exon 4–exon 5 junction (chr19:1,235,146–1,235,500); b joins exon 4 to the annotated alternative 3′ splice site at 1,235,342 (1,235,343–1,235,500); c leaves the 31-nt segment through the unannotated donor at 1,235,312 (1,235,146–1,235,311). The shaded interval lies between the alternative and canonical 3′ splice sites. Transcript models are from GENCODE v47; the dashed model is the exon structure implied by junction c. (B) ΔPSI of the 32 coverage-qualified rMATS CBARP events in five datasets (Supplementary Table S3). The sign refers to each event’s rMATS-defined inclusion form, which differs between ev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3_splicing_replic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970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S3. </w:t>
      </w:r>
      <w:r>
        <w:rPr>
          <w:rFonts w:ascii="Arial" w:hAnsi="Arial" w:eastAsia="Arial"/>
          <w:color w:val="000000"/>
          <w:sz w:val="18"/>
        </w:rPr>
        <w:t>CBARP exon 4–exon 5 region after TDP-43 depletion. (A) Sashimi plot of the public SH-SY5Y comparison (0 versus 75 ng/mL doxycycline, three libraries per group) and of iPSC colonies (four libraries per group), drawn from the alignments; the minus-strand gene is shown 5′→3′. Filled profiles are the mean per-base read depth of the libraries in each group, and each track has its own y-axis. Arcs show split reads summed over the libraries of a group, with width proportional to the junction’s share of reads at its shared splice site. Reads were counted with the junction rules of Methods 2.5 (MAPQ ≥ 30, primary non-duplicate alignments, 8 bp anchors); the SH-SY5Y counts are those of the local-splicing-variation test in Section 3.5. Junction a is the canonical exon 4–exon 5 junction (chr19:1,235,146–1,235,500); b joins exon 4 to the annotated alternative 3′ splice site at 1,235,342 (1,235,343–1,235,500); c leaves the 31-nt segment through the unannotated donor at 1,235,312 (1,235,146–1,235,311). The shaded interval lies between the alternative and canonical 3′ splice sites. Transcript models are from GENCODE v47; the dashed model is the exon structure implied by junction c. (B) ΔPSI of the 32 coverage-qualified rMATS CBARP events in five datasets (Supplementary Table S3). The sign refers to each event’s rMATS-defined inclusion form, which differs between events.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S4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5893372"/>
            <wp:docPr id="4" name="Picture 4" title="Supplementary Figure S4" descr="Supplementary Figure S4. Positive controls and specificity of the annotation-free junction screen. (A) Literature cryptic-splicing positive controls recovered de novo in SH-SY5Y, with knockdown/control junction-read counts. (B) Genes with a high-confidence unannotated splicing change in each of four cumulative Ca²⁺ panels; the numbers below the tiers are panel sizes, and tiers are not independent sets. (C) Number of literature positive-control genes recovered under the permissive definition in human comparisons, including the FUS and TAF15 knockdown controls. Mouse comparisons are omitted because the literature control events are human cryptic ev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4_cryptic_contro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89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S4. </w:t>
      </w:r>
      <w:r>
        <w:rPr>
          <w:rFonts w:ascii="Arial" w:hAnsi="Arial" w:eastAsia="Arial"/>
          <w:color w:val="000000"/>
          <w:sz w:val="18"/>
        </w:rPr>
        <w:t>Positive controls and specificity of the annotation-free junction screen. (A) Literature cryptic-splicing positive controls recovered de novo in SH-SY5Y, with knockdown/control junction-read counts. (B) Genes with a high-confidence unannotated splicing change in each of four cumulative Ca²⁺ panels; the numbers below the tiers are panel sizes, and tiers are not independent sets. (C) Number of literature positive-control genes recovered under the permissive definition in human comparisons, including the FUS and TAF15 knockdown controls. Mouse comparisons are omitted because the literature control events are human cryptic events.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S5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22749"/>
            <wp:docPr id="5" name="Picture 5" title="Supplementary Figure S5" descr="Supplementary Figure S5. Exploratory NMD interaction. Condition-level TDP-43-specific interaction estimates for genes with a cryptic junction and the remaining genes, with CBARP marked. The four NMD-inhibition conditions are the units of inference; the TDP-43 factor is confounded with sequencing bat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5_NMD_intera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22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S5. </w:t>
      </w:r>
      <w:r>
        <w:rPr>
          <w:rFonts w:ascii="Arial" w:hAnsi="Arial" w:eastAsia="Arial"/>
          <w:color w:val="000000"/>
          <w:sz w:val="18"/>
        </w:rPr>
        <w:t>Exploratory NMD interaction. Condition-level TDP-43-specific interaction estimates for genes with a cryptic junction and the remaining genes, with CBARP marked. The four NMD-inhibition conditions are the units of inference; the TDP-43 factor is confounded with sequencing batch.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617720" cy="5853448"/>
            <wp:docPr id="6" name="Picture 6" title="Supplementary Figure S6" descr="Supplementary Figure S6. Coverage-based alternative-polyadenylation screen and STMN2 control. (A) Depth-qualified SH-SY5Y intronic and distal 3′UTR index changes with bootstrap 95% intervals. The STIM2 intron 13 unit (†) contains the alternatively spliced STIM2 exon and is not independent evidence for a polyadenylation event. (B) Coverage at both ends of STMN2 intron 2 in each replicate after reference skips are excluded; the open marker is a measured zero at the 3′ end in one knockdown replicate. The indices measure coverage gradients, not poly(A) si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6_APA_cover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585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S6. </w:t>
      </w:r>
      <w:r>
        <w:rPr>
          <w:rFonts w:ascii="Arial" w:hAnsi="Arial" w:eastAsia="Arial"/>
          <w:color w:val="000000"/>
          <w:sz w:val="18"/>
        </w:rPr>
        <w:t>Coverage-based alternative-polyadenylation screen and STMN2 control. (A) Depth-qualified SH-SY5Y intronic and distal 3′UTR index changes with bootstrap 95% intervals. The STIM2 intron 13 unit (†) contains the alternatively spliced STIM2 exon and is not independent evidence for a polyadenylation event. (B) Coverage at both ends of STMN2 intron 2 in each replicate after reference skips are excluded; the open marker is a measured zero at the 3′ end in one knockdown replicate. The indices measure coverage gradients, not poly(A) sites.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S7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983480" cy="5615189"/>
            <wp:docPr id="7" name="Picture 7" title="Supplementary Figure S7" descr="Supplementary Figure S7. TRPC1 expression across neurological comparison cohorts. Cliff’s δ (case minus control) is shown for ALS regions, other neurological disorders, Alzheimer’s disease, Parkinson’s disease and multiple sclerosis. Asterisks mark Benjamini–Hochberg q &lt; 0.05; daggers mark uncorrected p &lt; 0.05 for the donor-level normal-appearing white matter and myelin-adjusted comparisons. Pale bars are not significant. Cohorts and tissue compartments differ, so the display is descriptive across dise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7_cross_disease_TRP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61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S7. </w:t>
      </w:r>
      <w:r>
        <w:rPr>
          <w:rFonts w:ascii="Arial" w:hAnsi="Arial" w:eastAsia="Arial"/>
          <w:color w:val="000000"/>
          <w:sz w:val="18"/>
        </w:rPr>
        <w:t>TRPC1 expression across neurological comparison cohorts. Cliff’s δ (case minus control) is shown for ALS regions, other neurological disorders, Alzheimer’s disease, Parkinson’s disease and multiple sclerosis. Asterisks mark Benjamini–Hochberg q &lt; 0.05; daggers mark uncorrected p &lt; 0.05 for the donor-level normal-appearing white matter and myelin-adjusted comparisons. Pale bars are not significant. Cohorts and tissue compartments differ, so the display is descriptive across diseases.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S8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09160" cy="5836705"/>
            <wp:docPr id="8" name="Picture 8" title="Supplementary Figure S8" descr="Supplementary Figure S8. STMN2 expression and cryptic junction inclusion in ALS tissue. (A) Percentage of ALS and non-neurological control samples with a cryptic STMN2 junction, by region, among samples with at least 20 junction reads at the donor; sample counts for each group are printed in the labels. (B, C) Within-ALS Spearman correlations of selected genes with total STMN2 expression and cryptic STMN2 PSI, respectively. Black dots mark q &lt; 0.05 across the stated correction family. The heatmaps use the same colour scale; exact coefficients and q values for all tested genes are in Supplementary Table S9. Total STMN2 expression also tracks neuronal content, whereas cryptic junction PSI more directly reflects TDP-43-dependent RNA proc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8_STMN2_expression_vs_cryptic_PS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836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S8. </w:t>
      </w:r>
      <w:r>
        <w:rPr>
          <w:rFonts w:ascii="Arial" w:hAnsi="Arial" w:eastAsia="Arial"/>
          <w:color w:val="000000"/>
          <w:sz w:val="18"/>
        </w:rPr>
        <w:t>STMN2 expression and cryptic junction inclusion in ALS tissue. (A) Percentage of ALS and non-neurological control samples with a cryptic STMN2 junction, by region, among samples with at least 20 junction reads at the donor; sample counts for each group are printed in the labels. (B, C) Within-ALS Spearman correlations of selected genes with total STMN2 expression and cryptic STMN2 PSI, respectively. Black dots mark q &lt; 0.05 across the stated correction family. The heatmaps use the same colour scale; exact coefficients and q values for all tested genes are in Supplementary Table S9. Total STMN2 expression also tracks neuronal content, whereas cryptic junction PSI more directly reflects TDP-43-dependent RNA processing.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37" w:right="1123" w:bottom="979" w:left="1123" w:header="461" w:footer="49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666666"/>
        <w:sz w:val="16"/>
      </w:rPr>
      <w:t xml:space="preserve">Page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b/>
        <w:color w:val="4D4D4D"/>
        <w:sz w:val="16"/>
      </w:rPr>
      <w:t>SUPPLEMENTARY MATERIAL  |  YILMAZ AND ERAÇ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1" w:lineRule="auto" w:after="100"/>
      <w:jc w:val="both"/>
    </w:pPr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Arial" w:hAnsi="Arial" w:eastAsia="Arial"/>
      <w:b w:val="1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 w:eastAsia="Arial"/>
      <w:b w:val="1"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 w:val="1"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 w:val="1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jc w:val="both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both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keepLines/>
      <w:spacing w:line="259" w:lineRule="auto" w:before="140" w:after="0"/>
      <w:jc w:val="both"/>
    </w:pPr>
    <w:rPr>
      <w:rFonts w:ascii="Arial" w:hAnsi="Arial" w:eastAsia="Arial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subject>TDP-43 knockdown is associated with reduced store-operated Ca²⁺ entry and altered calcium-regulatory RNA profiles in SH-SY5Y cells</dc:subject>
  <dc:creator>Elmasnur Yılmaz; Yasemin Eraç</dc:creator>
  <cp:keywords>TDP-43; SOCE; calcium; supplementary material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