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Yasin Kaymaz², Yasemin Eraç¹*</w:t>
      </w:r>
    </w:p>
    <w:p>
      <w:pPr>
        <w:pStyle w:val="BodyText"/>
      </w:pPr>
      <w:r>
        <w:t xml:space="preserve">¹ Department of Pharmacology, Faculty of Pharmacy, Ege University, İzmir, Türkiye</w:t>
      </w:r>
      <w:r>
        <w:t xml:space="preserve"> </w:t>
      </w:r>
      <w:r>
        <w:t xml:space="preserve">² Department of Bioengineering / Institute of Natural and Applied Sciences,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is the molecular lesion of approximately 97% of amyotrophic lateral sclerosis (ALS) cases and of about half of frontotemporal lobar degeneration cases. Disturbed intracellular Ca²⁺ handling is well documented in these diseases, but whether TDP-43 loss acts on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(human and mouse; 38 libraries) with DESeq2 and rMATS, applying coverage filters, replicate-level percent-spliced-in, bootstrap intervals and leave-one-out checks to candidate events, and examined isoform usage with Salmon, IsoformSwitchAnalyzeR, DRIMSeq, stageR, LeafCutter and SUPPA2. Annotation-free junction analysis covered eleven comparisons, including FUS and TAF15 knockdown controls. Coverage-based intronic and 3′-terminal usage indices and an independent NMD-interaction dataset were analysed as exploratory tests. In a separate SH-SY5Y knockdown experiment, target mRNAs were measured by RT-qPCR, cytosolic Ca²⁺ by Fura-2/AM and viability by WST-1. Candidate genes were examined in ALS post-mortem tissue and in comparison neurological cohorts, with junction-level cryptic</w:t>
      </w:r>
      <w:r>
        <w:t xml:space="preserve"> </w:t>
      </w:r>
      <w:r>
        <w:rPr>
          <w:i/>
          <w:iCs/>
        </w:rPr>
        <w:t xml:space="preserve">STMN2</w:t>
      </w:r>
      <w:r>
        <w:t xml:space="preserve"> </w:t>
      </w:r>
      <w:r>
        <w:t xml:space="preserve">inclusion as a sample-level marker of TDP-43 dysfunction.</w:t>
      </w:r>
    </w:p>
    <w:p>
      <w:pPr>
        <w:pStyle w:val="BodyText"/>
      </w:pPr>
      <w:r>
        <w:rPr>
          <w:b/>
          <w:bCs/>
        </w:rPr>
        <w:t xml:space="preserve">Results.</w:t>
      </w:r>
      <w:r>
        <w:t xml:space="preserve"> </w:t>
      </w:r>
      <w:r>
        <w:t xml:space="preserve">Coverage-supported splicing changes were detected in several SOCE-related genes;</w:t>
      </w:r>
      <w:r>
        <w:t xml:space="preserve"> </w:t>
      </w:r>
      <w:r>
        <w:rPr>
          <w:i/>
          <w:iCs/>
        </w:rPr>
        <w:t xml:space="preserve">CBARP</w:t>
      </w:r>
      <w:r>
        <w:t xml:space="preserve"> </w:t>
      </w:r>
      <w:r>
        <w:t xml:space="preserve">was the most reproducible candidate across species and datasets, with</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supported in the primary model. In the knockdown experiment</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the Fura-2 SOCE response fell from 1.542 ± 0.282 to 0.245 ± 0.083 Δ(F340/F380) (p = 0.0115; n = 3 per group); ER release did not differ (p = 0.299). Length-corrected family summaries showed the dominant ORAI, SERCA and mitochondrial-uptake members falling while minor members rose.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and none of them in FUS or TAF15 knockdown, but no high-confidence cryptic junction in the core SOCE panel; exploratory APA and NMD analyses added no confirmed core-SOCE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and</w:t>
      </w:r>
      <w:r>
        <w:t xml:space="preserve"> </w:t>
      </w:r>
      <w:r>
        <w:rPr>
          <w:i/>
          <w:iCs/>
        </w:rPr>
        <w:t xml:space="preserve">TRPC1</w:t>
      </w:r>
      <w:r>
        <w:t xml:space="preserve"> </w:t>
      </w:r>
      <w:r>
        <w:t xml:space="preserve">moved the other way in every comparison cohort. Cryptic</w:t>
      </w:r>
      <w:r>
        <w:t xml:space="preserve"> </w:t>
      </w:r>
      <w:r>
        <w:rPr>
          <w:i/>
          <w:iCs/>
        </w:rPr>
        <w:t xml:space="preserve">STMN2</w:t>
      </w:r>
      <w:r>
        <w:t xml:space="preserve"> </w:t>
      </w:r>
      <w:r>
        <w:t xml:space="preserve">inclusion followed the regional distribution of TDP-43 pathology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a large reduction in Fura-2-measured SOCE and with altered expression and splicing of calcium-regulatory genes in SH-SY5Y cells. The data do not identify a single causal RNA switch, establish protein-level stoichiometry, or show that the ALS-tissue associations are driven by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prioritised for targeted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Motor neurons are notable for low cytosolic Ca²⁺-buffering capacity, and Ca²⁺-dependent excitotoxicity, mitochondrial dysfunction and ER stress have all been implicated. Store-operated Ca²⁺ entry — the STIM1/ORAI-mediated influx triggered by ER store depletion (Putney, 2010; Prakriya and Lewis, 2015), with contributions from TRPC channels (Ambudkar et al., 2007) — is a principal route of Ca²⁺ entry in non-excitable and many excitable cells. ORAI2 can modulate ORAI1-dependent SOCE in a context-dependent manner (Vaeth et al., 2017), and SARAF facilitates slow Ca²⁺-dependent inactivation of SOCE (Palty et al., 2012), including in SH-SY5Y cells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iPSC colonies (GSE230647), iPSC-derived motor neurons (GSE77702), mouse striatum (GSE27394/GSE27218), and mouse C2C12 and NSC34 (GSE171714/SRP314028) — 38 libraries in total, counting the pooled technical fragments of GSE27394 as one library per biological replicate. Two further comparisons, K562 total RNA and poly(A)+ mRNA (ENCODE ENCSR372DZW/ENCSR455TNF and ENCSR129RWD/ENCSR134JRE), were added for the annotation-free junction analysis only (Section 2.5) and were not processed with rMATS or DESeq2. Inclusion required a condition reducing TARDBP expression or TDP-43 protein, at least two biological replicates, open raw reads, and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were used for all downstream annotation and counting.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FDR &lt; 0.05 with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candidate events we further computed (i) per-replicate PSI from raw IJC/SJC counts,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complete GENCODE v47 transcript-to-gene map; the basic annotation used in the first version of this analysis covers only 157,588 of those transcripts and discards 26% of the transcripts per million, so all gene-level Salmon summaries reported here were recomputed with the complete map. Differential isoform usage was assessed with IsoformSwitchAnalyzeR v2.6.0 (Vitting-Seerup and Sandelin, 2019), DRIMSeq v1.34.0 (Nowicka and Robinson, 2016) and stageR v1.28.0 (Van den Berge et al., 2017), including open reading frame, premature termination codon/NMD prediction and protein domain consequence.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the null produced as many calls as the real comparison in iPSC colonies and twice as many in K562 total RNA,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Cryptic polyadenylation was assessed from coverage rather than from junctions. Windows were built for 696 genes: those of the 732-gene expanded Ca²⁺ panel for which annotated introns and terminal exons could be retrieved, together with the cryptic positive controls. Two 500 bp windows were placed at the 5′ and 3′ ends of every intron of at least 1,200 bp (50 bp buffer from each splice site), and the terminal exon of each gene of at least 400 bp was split into proximal and distal halves, both in the direction of transcription.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The corrected analysis was rerun for the primary SH-SY5Y model on the positive-control and core SOCE target set; full-panel results are reported only where all input windows passed the depth filter. Equivalent windows were built for 687 orthologous mouse genes, and the corrected analysis was run in all four knockdown comparisons whose alignments were available: SH-SY5Y, iPSC-derived motor neurons, C2C12 and NSC34.</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3′UTR usage index</w:t>
      </w:r>
      <w:r>
        <w:t xml:space="preserve"> </w:t>
      </w:r>
      <w:r>
        <w:t xml:space="preserve">is the distal half’s share of the terminal exon, following the logic of DaPars (Xia et al., 2014). In the corrected analysis both indices are reported as point estimates with bootstrap 95% confidence intervals obtained by complete enumeration of all 3⁶ = 729 replicate combinations; no p or q values are produced. A unit was retained only if the summed depth of its two windows was at least 3 in every sample.</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KD + NMD inhibition c) − log2(TDP-43 KD)]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by a sensitivity analysis using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Symbols were harmonised to HGNC/MGI and orthology verified via Ensembl Compara.</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For each functional family (STIM, ORAI, SERCA, TRPC, SOCE regulators, mitochondrial Ca²⁺ uptake, PMCA) we computed each member’s relative share of the family total in control cells and the change in its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NYGC ALS Consortium/Target ALS collection (GSE153960; Prudencio et al., 2020; 1,641 samples with metadata after filtering). After a low-expression filter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Parkinson’s disease (GSE68719, BA9, 29/44) and multiple sclerosis (GSE138614, white matter, 10 MS/5 control donors, 97 samples; GSE123496, five brain regions, 5/5 donors). GSE138614 is white matter, whereas the ALS, Alzheimer’s and Parkinson’s comparisons are predominantly grey matter; the tissue compartment therefore differs and is not controlled for. For multiple sclerosis, because TRPC1 is expressed in oligodendrocytes and oligodendrocyte precursors, two additional controls were applied: analysis restricted to normal-appearing white matter, in which myelin markers are preserved, and regression of TRPC1 on MBP, PLP1 and GFAP with testing of the residuals. Donor identity was not modelled in the lesion-type and normal-appearing white matter analyses, in which several samples come from the same donor; their p values are therefore optimistic.</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10% FBS and penicillin–streptomycin, and were mycoplasma-tested. TARDBP was silenced with a pLKO.1-TRC lentiviral shRNA; particles were produced in HEK293T cells and transduced cells selected with puromycin. Three groups were compared: non-transduced cells, a non-targeting shRNA control and shTDP-43. Lentiviral work followed institutional biosafety rules.</w:t>
      </w:r>
    </w:p>
    <w:bookmarkEnd w:id="22"/>
    <w:bookmarkStart w:id="23" w:name="rt-qpcr"/>
    <w:p>
      <w:pPr>
        <w:pStyle w:val="Heading3"/>
      </w:pPr>
      <w:r>
        <w:t xml:space="preserve">2.13 RT-qPCR</w:t>
      </w:r>
    </w:p>
    <w:p>
      <w:pPr>
        <w:pStyle w:val="FirstParagraph"/>
      </w:pPr>
      <w:r>
        <w:t xml:space="preserve">Total RNA was reverse transcribed and amplified with iTaq Universal SYBR Green Supermix (Bio-Rad, cat. no. 1725121) in 10 µL reactions on a LightCycler 480 II (Roche). Targets and GAPDH were run on the same plate with no-template and no-reverse-transcriptase controls, and specificity was checked from a single melt-curve peak. Relative expression was calculated by the 2^−ΔΔCt method (Livak and Schmittgen, 2001) with the control set to 1.0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Measurements were made 72 h after transduction. Cells were seeded in 24-well plates at 40,000 cells per well; the three samples of each group came from a single culture plate and are therefore not independent culture days. Cells were loaded with 5 µM Fura-2/AM and 0.02% Pluronic F-127 in 1% BSA/HBS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in a cuvette-based system with perfusion, following the protocol of Selli et al. (2009). Loaded cells were transferred to Ca²⁺-free HBS containing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48 h with the WST-1 assay, normalised to the mean of the control group at the same time point (n = 4 wells).</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corrected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panel of Figure 6,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our own prior candidate. A</w:t>
      </w:r>
      <w:r>
        <w:t xml:space="preserve"> </w:t>
      </w:r>
      <w:r>
        <w:rPr>
          <w:i/>
          <w:iCs/>
        </w:rPr>
        <w:t xml:space="preserve">TRPC1</w:t>
      </w:r>
      <w:r>
        <w:t xml:space="preserve"> </w:t>
      </w:r>
      <w:r>
        <w:t xml:space="preserve">skipped-exon event (chr3:142,792,824–142,792,967; ΔPSI = +0.108, FDR = 0.0459) had been prioritised on threshold criteria.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1).</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Ca²⁺ panels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was the most reproducible candidate: events meeting both threshold and coverage criteria were present in five of six datasets — iPSC colonies, mouse striatum, SH-SY5Y, C2C12 and NSC34 — with the same event architecture at the orthologous human chr19 and mouse chr10 loci and effect sizes of 0.15 to 0.74 supported by hundreds to thousands of reads.</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e37af7e8a9925510270676a4051bc9fd3705fd3"/>
    <w:p>
      <w:pPr>
        <w:pStyle w:val="Heading3"/>
      </w:pPr>
      <w:r>
        <w:t xml:space="preserve">3.3 Annotation-free analysis recovers cryptic exons genome-wide but does not detect high-confidence events in the core SOCE machinery</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Twelve of the sixteen literature positive controls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These ratios are not calibrated false-discovery rates — they are the ratio of two call counts from analyses with different sample sizes and different numbers of tests — but they show that call counts are not interpretable on their own. In SH-SY5Y, iPSC-derived motor neurons and K562 poly(A)+ mRNA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w:t>
      </w:r>
      <w:r>
        <w:t xml:space="preserve"> </w:t>
      </w:r>
      <w:r>
        <w:rPr>
          <w:b/>
          <w:bCs/>
        </w:rPr>
        <w:t xml:space="preserve">No gene of the core SOCE/TRP panel (Tier 1, n = 51) carried a high-confidence unannotated splicing change in ten of the eleven comparisons</w:t>
      </w:r>
      <w:r>
        <w:t xml:space="preserve">, including the primary SH-SY5Y model at both doses.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second junction set), and one arm of the</w:t>
      </w:r>
      <w:r>
        <w:t xml:space="preserve"> </w:t>
      </w:r>
      <w:r>
        <w:rPr>
          <w:i/>
          <w:iCs/>
        </w:rPr>
        <w:t xml:space="preserve">CBARP</w:t>
      </w:r>
      <w:r>
        <w:t xml:space="preserve"> </w:t>
      </w:r>
      <w:r>
        <w:t xml:space="preserve">event uses a splice site absent from the annotation. This is the fourth method, after rMATS with</w:t>
      </w:r>
      <w:r>
        <w:t xml:space="preserve"> </w:t>
      </w:r>
      <w:r>
        <w:rPr>
          <w:rStyle w:val="VerbatimChar"/>
        </w:rPr>
        <w:t xml:space="preserve">--novelSS</w:t>
      </w:r>
      <w:r>
        <w:t xml:space="preserve">, LeafCutter and isoform-level testing, to converge on this locus.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current transcript estimates, showed a change of +0.16 (q = 1.9 × 10⁻³) in the mapping-quality-filtered set and +0.15 (q = 0.087) in the unfiltered set; we report it as supported but not established.</w:t>
      </w:r>
    </w:p>
    <w:p>
      <w:pPr>
        <w:pStyle w:val="BodyText"/>
      </w:pPr>
      <w:r>
        <w:t xml:space="preserve">Junction-level data also allowed the</w:t>
      </w:r>
      <w:r>
        <w:t xml:space="preserve"> </w:t>
      </w:r>
      <w:r>
        <w:rPr>
          <w:i/>
          <w:iCs/>
        </w:rPr>
        <w:t xml:space="preserve">STIM2.1</w:t>
      </w:r>
      <w:r>
        <w:t xml:space="preserve">/STIM2β question to be revisited directly. Inclusion of the 24-nucleotide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The junction-level estimate is larger than the rMATS estimate for the same exon in the same libraries (+0.149 versus +0.059)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The original analysis treated eight contrasts derived from the same two control libraries as independent observations. We therefore repeated the calculation with the four NMD-inhibition conditions as the unit of inference, averaging the two replicates within each condition and retaining the shared controls only within each contrast. The direction of several positive-control and calcium-gene interactions was retained, but no gene passed genome-wide FDR correction in this conservative sensitivity analysis. The result is therefore supportive at the level of a ranked exploratory signal, not a confirmatory NMD test.</w:t>
      </w:r>
    </w:p>
    <w:p>
      <w:pPr>
        <w:pStyle w:val="BodyText"/>
      </w:pPr>
      <w:r>
        <w:rPr>
          <w:i/>
          <w:iCs/>
        </w:rPr>
        <w:t xml:space="preserve">CBARP</w:t>
      </w:r>
      <w:r>
        <w:t xml:space="preserve"> </w:t>
      </w:r>
      <w:r>
        <w:t xml:space="preserve">remained the largest SOCE-panel interaction (+1.52 log₂; positive in all four conditions),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retained positive interactions, without genome-wide significance after the dependence correction.</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and we withdraw that inference. Second, in the same four-condition analysis none of the four Ca²⁺ panels showed collective NMD sensitivity (one-sided Mann–Whitney p = 0.44, 0.91, 0.96 and 0.91 for Tiers 1–4), and the sixteen positive-control genes were not NMD-sensitive as a group either (p = 0.62), consistent with the absence of cryptic events in the core machinery.</w:t>
      </w:r>
    </w:p>
    <w:bookmarkEnd w:id="32"/>
    <w:bookmarkStart w:id="33" w:name="Xe0072569ed2455cb7b49c4d9a26a1ae84c716b6"/>
    <w:p>
      <w:pPr>
        <w:pStyle w:val="Heading3"/>
      </w:pPr>
      <w:r>
        <w:t xml:space="preserve">3.5 A coverage-based APA screen yields candidate gradients but no confirmed core-SOCE events</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w:t>
      </w:r>
    </w:p>
    <w:p>
      <w:pPr>
        <w:pStyle w:val="BodyText"/>
      </w:pPr>
      <w:r>
        <w:t xml:space="preserve">After the</w:t>
      </w:r>
      <w:r>
        <w:t xml:space="preserve"> </w:t>
      </w:r>
      <w:r>
        <w:rPr>
          <w:rStyle w:val="VerbatimChar"/>
        </w:rPr>
        <w:t xml:space="preserve">-j</w:t>
      </w:r>
      <w:r>
        <w:t xml:space="preserve"> </w:t>
      </w:r>
      <w:r>
        <w:t xml:space="preserve">correction, the primary SH-SY5Y positive control no longer showed a near-complete shift: using all six libraries, the corrected</w:t>
      </w:r>
      <w:r>
        <w:t xml:space="preserve"> </w:t>
      </w:r>
      <w:r>
        <w:rPr>
          <w:i/>
          <w:iCs/>
        </w:rPr>
        <w:t xml:space="preserve">STMN2</w:t>
      </w:r>
      <w:r>
        <w:t xml:space="preserve"> </w:t>
      </w:r>
      <w:r>
        <w:t xml:space="preserve">intronic index gave a group difference of +0.145 (bootstrap 95% CI +0.085 to +0.205), against +0.489 before the correction; the earlier estimate included reference-skip coverage and is not retained.</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core SOCE targets in the corrected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These are candidate coverage gradients rather than localised poly(A) sites. Sparse intronic windows produced unstable point estimates and were excluded by the pre-specified depth filter.</w:t>
      </w:r>
    </w:p>
    <w:p>
      <w:pPr>
        <w:pStyle w:val="BodyText"/>
      </w:pPr>
      <w:r>
        <w:t xml:space="preserve">The corrected analysis therefore identifies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w:t>
      </w:r>
      <w:r>
        <w:t xml:space="preserve">but does not establish a direct APA event in any core SOCE gene.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the only other intervals excluding zero were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Because the positive control was no longer robust in this model after correction, absence of a signal should not be interpreted as evidence that these genes are definitively spared.</w:t>
      </w:r>
    </w:p>
    <w:p>
      <w:pPr>
        <w:pStyle w:val="BodyText"/>
      </w:pPr>
      <w:r>
        <w:t xml:space="preserve">We therefore repeated the corrected analysis in the iPSC-derived motor neurons, where 59 units in 29 genes passed the same depth filter. Here the assay’s positive control behaved as intended: the</w:t>
      </w:r>
      <w:r>
        <w:t xml:space="preserve"> </w:t>
      </w:r>
      <w:r>
        <w:rPr>
          <w:i/>
          <w:iCs/>
        </w:rPr>
        <w:t xml:space="preserve">STMN2</w:t>
      </w:r>
      <w:r>
        <w:t xml:space="preserve"> </w:t>
      </w:r>
      <w:r>
        <w:t xml:space="preserve">intron 2 index rose from 0.570 in controls to 0.819 in knockdown (Δ = +0.249, interval +0.208 to +0.290), and a second control moved in the expected direction (</w:t>
      </w:r>
      <w:r>
        <w:rPr>
          <w:i/>
          <w:iCs/>
        </w:rPr>
        <w:t xml:space="preserve">UNC13A</w:t>
      </w:r>
      <w:r>
        <w:t xml:space="preserve"> </w:t>
      </w:r>
      <w:r>
        <w:t xml:space="preserve">intron 31, −0.145). Against that working positive control, the core SOCE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of the two SH-SY5Y candidates,</w:t>
      </w:r>
      <w:r>
        <w:t xml:space="preserve"> </w:t>
      </w:r>
      <w:r>
        <w:rPr>
          <w:i/>
          <w:iCs/>
        </w:rPr>
        <w:t xml:space="preserve">STIM2</w:t>
      </w:r>
      <w:r>
        <w:t xml:space="preserve"> </w:t>
      </w:r>
      <w:r>
        <w:t xml:space="preserve">intron 13 did not reproduce (−0.024, interval spanning zero) while</w:t>
      </w:r>
      <w:r>
        <w:t xml:space="preserve"> </w:t>
      </w:r>
      <w:r>
        <w:rPr>
          <w:i/>
          <w:iCs/>
        </w:rPr>
        <w:t xml:space="preserve">STIM1</w:t>
      </w:r>
      <w:r>
        <w:t xml:space="preserve"> </w:t>
      </w:r>
      <w:r>
        <w:t xml:space="preserve">intron 17 did not reach the depth filter in this shallower dataset.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The positive control was informative only in the motor-neuron-like line, where the</w:t>
      </w:r>
      <w:r>
        <w:t xml:space="preserve"> </w:t>
      </w:r>
      <w:r>
        <w:rPr>
          <w:i/>
          <w:iCs/>
        </w:rPr>
        <w:t xml:space="preserve">Stmn2</w:t>
      </w:r>
      <w:r>
        <w:t xml:space="preserve"> </w:t>
      </w:r>
      <w:r>
        <w:t xml:space="preserve">intron 2 index moved in the expected direction (+0.148, interval +0.005 to +0.290); in the myoblast line that intron did not pass the depth filter. No core SOCE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neuronal models: the</w:t>
      </w:r>
      <w:r>
        <w:t xml:space="preserve"> </w:t>
      </w:r>
      <w:r>
        <w:rPr>
          <w:i/>
          <w:iCs/>
        </w:rPr>
        <w:t xml:space="preserve">SARAF</w:t>
      </w:r>
      <w:r>
        <w:t xml:space="preserve"> </w:t>
      </w:r>
      <w:r>
        <w:t xml:space="preserve">intron 5 index rises in the iPSC-derived motor neurons (+0.097) and in NSC34 (+0.204), and is not measurable in SH-SY5Y. We record it as a candidate rather than a finding: the NSC34 interval is wide, the myoblast line shows nothing there, and a coverage gradient is not a poly(A) site.</w:t>
      </w:r>
    </w:p>
    <w:p>
      <w:pPr>
        <w:pStyle w:val="BodyText"/>
      </w:pPr>
      <w:r>
        <w:t xml:space="preserve">Taken together, the corrected analyses support altered calcium-related RNA profiles but do not establish whether any core SOCE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In iPSC colonies, by contrast, nominally significant enrichment (p = 0.018–0.022) disappeared entirely against the matched null (p = 0.54–0.64).</w:t>
      </w:r>
    </w:p>
    <w:p>
      <w:pPr>
        <w:pStyle w:val="BodyText"/>
      </w:pPr>
      <w:r>
        <w:t xml:space="preserve">We therefore report enrichment of splicing changes in Ca²⁺ homeostasis genes as a motor-neuron-associated finding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In these cells,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w:t>
      </w:r>
    </w:p>
    <w:p>
      <w:pPr>
        <w:pStyle w:val="BodyText"/>
      </w:pPr>
      <w:r>
        <w:t xml:space="preserve">In the length-corrected (TPM) estimates,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respective families (77% and 98% of the family total in control cells) and both decrease in knockdown,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 that increase.</w:t>
      </w:r>
      <w:r>
        <w:t xml:space="preserve"> </w:t>
      </w:r>
      <w:r>
        <w:rPr>
          <w:i/>
          <w:iCs/>
        </w:rPr>
        <w:t xml:space="preserve">STIM1</w:t>
      </w:r>
      <w:r>
        <w:t xml:space="preserve"> </w:t>
      </w:r>
      <w:r>
        <w:t xml:space="preserve">and</w:t>
      </w:r>
      <w:r>
        <w:t xml:space="preserve"> </w:t>
      </w:r>
      <w:r>
        <w:rPr>
          <w:i/>
          <w:iCs/>
        </w:rPr>
        <w:t xml:space="preserve">TRPC1</w:t>
      </w:r>
      <w:r>
        <w:t xml:space="preserve"> </w:t>
      </w:r>
      <w:r>
        <w:t xml:space="preserve">are the dominant members of their families and also increase. At family level the SERCA and mitochondrial-uptake pools fall (−32% and −43% of total TPM) while the STIM pool rises (+13%) and the ORAI and SOCE-regulator pools are almost unchanged (−3% and −1%). These are descriptive summaries of transcript abundance and cannot be converted directly into protein-complex stoichiometry.</w:t>
      </w:r>
    </w:p>
    <w:p>
      <w:pPr>
        <w:pStyle w:val="BodyText"/>
      </w:pPr>
      <w:r>
        <w:rPr>
          <w:i/>
          <w:iCs/>
        </w:rPr>
        <w:t xml:space="preserve">SARAF</w:t>
      </w:r>
      <w:r>
        <w:t xml:space="preserve"> </w:t>
      </w:r>
      <w:r>
        <w:t xml:space="preserve">is the dominant SOCE regulator (82% of that family’s transcript pool) and increases in the knockdown libraries.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(δ = −0.840; q = 0.038) and in lesions (δ = −0.594; q = 1.3 × 10⁻⁴); in the second multiple sclerosis cohort the direction was the same but the study was underpowered (five regions pooled, δ = −0.226; q = 0.49). Because TRPC1 is expressed in oligodendrocytes and their precursors, we asked whether the decrease was simply demyelination. In normal-appearing white matter, where the myelin markers MBP (δ = +0.048), PLP1 (−0.082), MOG (−0.261) and MAG (−0.299) were unchanged,</w:t>
      </w:r>
      <w:r>
        <w:t xml:space="preserve"> </w:t>
      </w:r>
      <w:r>
        <w:rPr>
          <w:i/>
          <w:iCs/>
        </w:rPr>
        <w:t xml:space="preserve">TRPC1</w:t>
      </w:r>
      <w:r>
        <w:t xml:space="preserve"> </w:t>
      </w:r>
      <w:r>
        <w:t xml:space="preserve">was still reduced; because several samples come from the same donor, we repeated the test with the donor as the unit of inference, and the reduction held (seven multiple sclerosis donors versus five control donors, δ = −0.771, p = 0.030). Regression of TRPC1 on MBP, PLP1 and GFAP weakened but did not remove the difference (sample level δ = −0.557 → −0.395;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and in our own first attempt,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all 231 correlations computed with both proxies): gene-level</w:t>
      </w:r>
      <w:r>
        <w:t xml:space="preserve"> </w:t>
      </w:r>
      <w:r>
        <w:rPr>
          <w:i/>
          <w:iCs/>
        </w:rPr>
        <w:t xml:space="preserve">STMN2</w:t>
      </w:r>
      <w:r>
        <w:t xml:space="preserve"> </w:t>
      </w:r>
      <w:r>
        <w:t xml:space="preserve">fell with cryptic inclusion (cervical cord ρ = −0.244, q = 0.010),</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0.026 and 0.021) — all three internally consistent — together with</w:t>
      </w:r>
      <w:r>
        <w:t xml:space="preserve"> </w:t>
      </w:r>
      <w:r>
        <w:rPr>
          <w:i/>
          <w:iCs/>
        </w:rPr>
        <w:t xml:space="preserve">ATP2A2</w:t>
      </w:r>
      <w:r>
        <w:t xml:space="preserve"> </w:t>
      </w:r>
      <w:r>
        <w:t xml:space="preserve">(medial motor cortex, −0.299, q = 0.014),</w:t>
      </w:r>
      <w:r>
        <w:t xml:space="preserve"> </w:t>
      </w:r>
      <w:r>
        <w:rPr>
          <w:i/>
          <w:iCs/>
        </w:rPr>
        <w:t xml:space="preserve">STIM1</w:t>
      </w:r>
      <w:r>
        <w:t xml:space="preserve"> </w:t>
      </w:r>
      <w:r>
        <w:t xml:space="preserve">(lumbar cord, −0.280, q = 0.0019),</w:t>
      </w:r>
      <w:r>
        <w:t xml:space="preserve"> </w:t>
      </w:r>
      <w:r>
        <w:rPr>
          <w:i/>
          <w:iCs/>
        </w:rPr>
        <w:t xml:space="preserve">SARAF</w:t>
      </w:r>
      <w:r>
        <w:t xml:space="preserve"> </w:t>
      </w:r>
      <w:r>
        <w:t xml:space="preserve">(lumbar cord, −0.194, q = 0.045) and</w:t>
      </w:r>
      <w:r>
        <w:t xml:space="preserve"> </w:t>
      </w:r>
      <w:r>
        <w:rPr>
          <w:i/>
          <w:iCs/>
        </w:rPr>
        <w:t xml:space="preserve">ORAI1</w:t>
      </w:r>
      <w:r>
        <w:t xml:space="preserve"> </w:t>
      </w:r>
      <w:r>
        <w:t xml:space="preserve">(+0.278 in cervical and +0.234 in lumbar cord, q = 0.0027 and 0.012). Two of these four SOCE correlations run in the direction the cellular model predicts (the</w:t>
      </w:r>
      <w:r>
        <w:t xml:space="preserve"> </w:t>
      </w:r>
      <w:r>
        <w:rPr>
          <w:i/>
          <w:iCs/>
        </w:rPr>
        <w:t xml:space="preserve">ATP2A2</w:t>
      </w:r>
      <w:r>
        <w:t xml:space="preserve"> </w:t>
      </w:r>
      <w:r>
        <w:t xml:space="preserve">fall and the</w:t>
      </w:r>
      <w:r>
        <w:t xml:space="preserve"> </w:t>
      </w:r>
      <w:r>
        <w:rPr>
          <w:i/>
          <w:iCs/>
        </w:rPr>
        <w:t xml:space="preserve">ORAI1</w:t>
      </w:r>
      <w:r>
        <w:t xml:space="preserve"> </w:t>
      </w:r>
      <w:r>
        <w:t xml:space="preserve">rise)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the n = 3 experiments require independent biological replication and do not localise the defect exclusively to plasma-membrane influx. The length-corrected transcript summaries show decreases in the dominant ORAI and SERCA members and an increase in</w:t>
      </w:r>
      <w:r>
        <w:t xml:space="preserve"> </w:t>
      </w:r>
      <w:r>
        <w:rPr>
          <w:i/>
          <w:iCs/>
        </w:rPr>
        <w:t xml:space="preserve">SARAF</w:t>
      </w:r>
      <w:r>
        <w:t xml:space="preserve">, alongside increases in the minor members</w:t>
      </w:r>
      <w:r>
        <w:t xml:space="preserve"> </w:t>
      </w:r>
      <w:r>
        <w:rPr>
          <w:i/>
          <w:iCs/>
        </w:rPr>
        <w:t xml:space="preserve">ORAI1</w:t>
      </w:r>
      <w:r>
        <w:t xml:space="preserve"> </w:t>
      </w:r>
      <w:r>
        <w:t xml:space="preserve">and</w:t>
      </w:r>
      <w:r>
        <w:t xml:space="preserve"> </w:t>
      </w:r>
      <w:r>
        <w:rPr>
          <w:i/>
          <w:iCs/>
        </w:rPr>
        <w:t xml:space="preserve">ATP2A3</w:t>
      </w:r>
      <w:r>
        <w:t xml:space="preserve">. These patterns are compatible with a compositional contribution, but TPM is not an absolute measurement and protein abundance, membrane localisation and complex assembly were not measured. ORAI2 and MCUB also have context-dependent regulatory roles, so their RNA changes cannot be assigned a unique functional direction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After correcting the APA coverage calculation for reference skips, the</w:t>
      </w:r>
      <w:r>
        <w:t xml:space="preserve"> </w:t>
      </w:r>
      <w:r>
        <w:rPr>
          <w:i/>
          <w:iCs/>
        </w:rPr>
        <w:t xml:space="preserve">STMN2</w:t>
      </w:r>
      <w:r>
        <w:t xml:space="preserve"> </w:t>
      </w:r>
      <w:r>
        <w:t xml:space="preserve">positive control was no longer a near-complete shift in the primary model, although it remained clear in the iPSC-derived motor neurons (intronic index +0.249), where the core SOCE genes nonetheless moved little; the conservative NMD analysis did not yield a genome-wide significant gene. The corrected data therefore do not establish direct or indirect targeting of the core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event architecture in five of six datasets across two species, with large effect sizes and deep read support, independently confirmed by an annotation-free method, and accompanied by the largest expression change of any SOCE regulator.</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dominant-negative STIM2.1/STIM2β isoform was positive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Our own</w:t>
      </w:r>
      <w:r>
        <w:t xml:space="preserve"> </w:t>
      </w:r>
      <w:r>
        <w:rPr>
          <w:i/>
          <w:iCs/>
        </w:rPr>
        <w:t xml:space="preserve">TRPC1</w:t>
      </w:r>
      <w:r>
        <w:t xml:space="preserve"> </w:t>
      </w:r>
      <w:r>
        <w:t xml:space="preserve">candidate failed every robustness check we applied to it, and we report that failure rather than the original call.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while leaving it intact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Our first attempt at this test used gene-level</w:t>
      </w:r>
      <w:r>
        <w:t xml:space="preserve"> </w:t>
      </w:r>
      <w:r>
        <w:rPr>
          <w:i/>
          <w:iCs/>
        </w:rPr>
        <w:t xml:space="preserve">STMN2</w:t>
      </w:r>
      <w:r>
        <w:t xml:space="preserve"> </w:t>
      </w:r>
      <w:r>
        <w:t xml:space="preserve">as the proxy and produced positive correlations in all nine regions then examined,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we no longer offer them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samples per group for Ca²⁺ imaging and four wells for viability, and the three Ca²⁺ samples of each group were prepared from a single culture plate rather than on independent culture days; they are therefore not independent biological replicates and the phenotype requires replication with a second silencing reagent and a TDP-43 rescue. Protein levels, membrane localisation and complex assembly of candidate genes were not measured. The WST-1 assay does not separate proliferation from cell death, and the opposite directions at 24 h and 48 h show that it is not a direct viability measure. Transcript-family summaries are length-corrected short-read estimates, not absolute stoichiometry.</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for any single junction-level call at an antisense locus the gene assignment should be treated as provisional.</w:t>
      </w:r>
    </w:p>
    <w:p>
      <w:pPr>
        <w:pStyle w:val="BodyText"/>
      </w:pPr>
      <w:r>
        <w:t xml:space="preserve">The corrected alternative-polyadenylation analysis is coverage-based and does not localise poly(A) sites; 3′-end sequencing would be required for that purpose. The positive control fails the depth filter in SH-SY5Y after the correction, so the negative result in that model rests on an assay whose sensitivity could not be demonstrated there; in the iPSC-derived motor neurons the same control works, but that comparison has only two replicates per group. Across the four comparisons in which the corrected analysis could be run, the assay’s own positive control is informative in two and silent in two. Excluding reference skips reduced the</w:t>
      </w:r>
      <w:r>
        <w:t xml:space="preserve"> </w:t>
      </w:r>
      <w:r>
        <w:rPr>
          <w:i/>
          <w:iCs/>
        </w:rPr>
        <w:t xml:space="preserve">STMN2</w:t>
      </w:r>
      <w:r>
        <w:t xml:space="preserve"> </w:t>
      </w:r>
      <w:r>
        <w:t xml:space="preserve">positive control from a near-complete shift to +0.145 (bootstrap 95% CI +0.085 to +0.205), and the control falls just below the pre-specified depth filter, so the assay’s own positive control is no longer strong in this model. The completed full-panel correction identified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but no large, reproducible APA shift in the core SOCE machinery. Sparse windows remain a sensitivity limit, and the correction was applied only to the primary SH-SY5Y model,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itself was not run; the local-splicing-variation analysis we substituted (Vaquero-Garcia et al., 2016)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Corrected APA and conservative NMD analyses do not provide confirmatory evidence that core SOCE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2^−ΔΔCt 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E.Y. performed the laboratory experiments, carried out the computational analyses, prepared the figures and wrote the first draft. Y.K. supervised the computational analyses. Y.E. conceived and supervised the study. All authors read and approved the final manuscript.</w:t>
      </w:r>
      <w:r>
        <w:t xml:space="preserve"> </w:t>
      </w:r>
      <w:r>
        <w:rPr>
          <w:i/>
          <w:iCs/>
        </w:rPr>
        <w:t xml:space="preserve">[To be confirmed by all authors before submission.]</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The authors thank the ALS Consortium of the New York Genome Center and Target ALS for making the post-mortem RNA-seq data available,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2.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3. Robust SOCE splicing candidates in SH-SY5Y</w:t>
      </w:r>
      <w:r>
        <w:t xml:space="preserve"> </w:t>
      </w:r>
      <w:r>
        <w:t xml:space="preserve">with replicate-level bootstrap 95% confidence intervals (10,000 resamples).</w:t>
      </w:r>
    </w:p>
    <w:p>
      <w:pPr>
        <w:pStyle w:val="BodyText"/>
      </w:pPr>
      <w:r>
        <w:rPr>
          <w:b/>
          <w:bCs/>
        </w:rPr>
        <w:t xml:space="preserve">Figure 4. Annotation-free junction analysis and exploratory NMD interaction.</w:t>
      </w:r>
      <w:r>
        <w:t xml:space="preserve"> </w:t>
      </w:r>
      <w:r>
        <w:t xml:space="preserve">(A) Cryptic junctions recovered de novo in SH-SY5Y, with knockdown and control read counts. (B) Genes carrying cryptic events in each of the four cumulative Ca²⁺ panels.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corrected alternative-polyadenylation analysis.</w:t>
      </w:r>
      <w:r>
        <w:t xml:space="preserve"> </w:t>
      </w:r>
      <w:r>
        <w:t xml:space="preserve">(A) Positive-control genes recovered in each comparison under the permissive definition, with FUS and TAF15 knockdown as controls. (B) Depth-qualified intronic and distal 3′-terminal usage estimates in the corrected SH-SY5Y analysis. (C) Coverage at the two ends of</w:t>
      </w:r>
      <w:r>
        <w:t xml:space="preserve"> </w:t>
      </w:r>
      <w:r>
        <w:rPr>
          <w:i/>
          <w:iCs/>
        </w:rPr>
        <w:t xml:space="preserve">STMN2</w:t>
      </w:r>
      <w:r>
        <w:t xml:space="preserve"> </w:t>
      </w:r>
      <w:r>
        <w:t xml:space="preserve">intron 2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(2^−ΔΔCt, n = 4; one-way ANOVA on log2 values with Tukey’s test). (B) Relative mRNA of the four SOCE-associated targets (n = 4; two-tailed t-tests). (C) WST-1 viability at 24 h and 48 h (n = 4 wells). (D) Representative Fura-2 traces for a control and a knockdown sample: SERCA inhibition with 10 µM cyclopiazonic acid in Ca²⁺-free medium, then re-addition of 1.5 mM CaCl₂. (E) Group data for the two phases, as Δ(F340/F380) relative to the preceding baseline (n = 3 samples per group, prepared from a single culture plate).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per family member in control and TDP-43 knockdown cells for the ORAI, SERCA, STIM, SOCE-regulator and mitochondrial-uptake families; the TRPC and PMCA families are given in Table 4. Asterisks mark the RT-qPCR targets, each of which is a minor member of its family.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and myelin-adjusted analyses.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tables"/>
    <w:p>
      <w:pPr>
        <w:pStyle w:val="Heading2"/>
      </w:pPr>
      <w:r>
        <w:t xml:space="preserve">Tables</w:t>
      </w:r>
    </w:p>
    <w:p>
      <w:pPr>
        <w:pStyle w:val="FirstParagraph"/>
      </w:pPr>
      <w:r>
        <w:rPr>
          <w:b/>
          <w:bCs/>
        </w:rPr>
        <w:t xml:space="preserve">Table 1.</w:t>
      </w:r>
      <w:r>
        <w:t xml:space="preserve"> </w:t>
      </w:r>
      <w:r>
        <w:t xml:space="preserve">Effect of coverage pre-filtering on event counts and significance, by dataset.</w:t>
      </w:r>
      <w:r>
        <w:t xml:space="preserve"> </w:t>
      </w:r>
      <w:r>
        <w:rPr>
          <w:b/>
          <w:bCs/>
        </w:rPr>
        <w:t xml:space="preserve">Table 2.</w:t>
      </w:r>
      <w:r>
        <w:t xml:space="preserve"> </w:t>
      </w:r>
      <w:r>
        <w:t xml:space="preserve">Robust splicing events in SOCE machinery genes with bootstrap confidence intervals.</w:t>
      </w:r>
      <w:r>
        <w:t xml:space="preserve"> </w:t>
      </w:r>
      <w:r>
        <w:rPr>
          <w:b/>
          <w:bCs/>
        </w:rPr>
        <w:t xml:space="preserve">Table 3.</w:t>
      </w:r>
      <w:r>
        <w:t xml:space="preserve"> </w:t>
      </w:r>
      <w:r>
        <w:t xml:space="preserve">Cryptic events recovered by annotation-free junction analysis in eleven comparisons, with RNA-binding-protein specificity controls.</w:t>
      </w:r>
      <w:r>
        <w:t xml:space="preserve"> </w:t>
      </w:r>
      <w:r>
        <w:rPr>
          <w:b/>
          <w:bCs/>
        </w:rPr>
        <w:t xml:space="preserve">Table 4.</w:t>
      </w:r>
      <w:r>
        <w:t xml:space="preserve"> </w:t>
      </w:r>
      <w:r>
        <w:t xml:space="preserve">Transcript-family abundance of SOCE-related genes in SH-SY5Y.</w:t>
      </w:r>
      <w:r>
        <w:t xml:space="preserve"> </w:t>
      </w: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bookmarkEnd w:id="46"/>
    <w:bookmarkStart w:id="47" w:name="supplementary"/>
    <w:p>
      <w:pPr>
        <w:pStyle w:val="Heading2"/>
      </w:pPr>
      <w:r>
        <w:t xml:space="preserve">Supplementary</w:t>
      </w:r>
    </w:p>
    <w:p>
      <w:pPr>
        <w:pStyle w:val="FirstParagraph"/>
      </w:pPr>
      <w:r>
        <w:rPr>
          <w:b/>
          <w:bCs/>
        </w:rPr>
        <w:t xml:space="preserve">S1.</w:t>
      </w:r>
      <w:r>
        <w:t xml:space="preserve"> </w:t>
      </w:r>
      <w:r>
        <w:t xml:space="preserve">Laboratory source data (RT-qPCR Ct values, Fura-2 traces, WST-1 absorbances).</w:t>
      </w:r>
      <w:r>
        <w:t xml:space="preserve"> </w:t>
      </w:r>
      <w:r>
        <w:rPr>
          <w:b/>
          <w:bCs/>
        </w:rPr>
        <w:t xml:space="preserve">S2.</w:t>
      </w:r>
      <w:r>
        <w:t xml:space="preserve"> </w:t>
      </w:r>
      <w:r>
        <w:t xml:space="preserve">Ca²⁺ gene panels (four cumulative sets).</w:t>
      </w:r>
      <w:r>
        <w:t xml:space="preserve"> </w:t>
      </w:r>
      <w:r>
        <w:rPr>
          <w:b/>
          <w:bCs/>
        </w:rPr>
        <w:t xml:space="preserve">S3.</w:t>
      </w:r>
      <w:r>
        <w:t xml:space="preserve"> </w:t>
      </w:r>
      <w:r>
        <w:t xml:space="preserve">Full rMATS output, JC and JCEC, six datasets.</w:t>
      </w:r>
      <w:r>
        <w:t xml:space="preserve"> </w:t>
      </w:r>
      <w:r>
        <w:rPr>
          <w:b/>
          <w:bCs/>
        </w:rPr>
        <w:t xml:space="preserve">S4.</w:t>
      </w:r>
      <w:r>
        <w:t xml:space="preserve"> </w:t>
      </w:r>
      <w:r>
        <w:t xml:space="preserve">Matched permutation enrichment results, all datasets and panels.</w:t>
      </w:r>
      <w:r>
        <w:t xml:space="preserve"> </w:t>
      </w:r>
      <w:r>
        <w:rPr>
          <w:b/>
          <w:bCs/>
        </w:rPr>
        <w:t xml:space="preserve">S5.</w:t>
      </w:r>
      <w:r>
        <w:t xml:space="preserve"> </w:t>
      </w:r>
      <w:r>
        <w:t xml:space="preserve">Cryptic events, all datasets.</w:t>
      </w:r>
      <w:r>
        <w:t xml:space="preserve"> </w:t>
      </w:r>
      <w:r>
        <w:rPr>
          <w:b/>
          <w:bCs/>
        </w:rPr>
        <w:t xml:space="preserve">S6.</w:t>
      </w:r>
      <w:r>
        <w:t xml:space="preserve"> </w:t>
      </w:r>
      <w:r>
        <w:t xml:space="preserve">Cryptic positive controls and the dataset × gene matrix.</w:t>
      </w:r>
      <w:r>
        <w:t xml:space="preserve"> </w:t>
      </w:r>
      <w:r>
        <w:rPr>
          <w:b/>
          <w:bCs/>
        </w:rPr>
        <w:t xml:space="preserve">S7.</w:t>
      </w:r>
      <w:r>
        <w:t xml:space="preserve"> </w:t>
      </w:r>
      <w:r>
        <w:t xml:space="preserve">SOCE genes in the annotation-free analysis.</w:t>
      </w:r>
      <w:r>
        <w:t xml:space="preserve"> </w:t>
      </w: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r>
        <w:t xml:space="preserve"> </w:t>
      </w:r>
      <w:r>
        <w:rPr>
          <w:b/>
          <w:bCs/>
        </w:rPr>
        <w:t xml:space="preserve">S9.</w:t>
      </w:r>
      <w:r>
        <w:t xml:space="preserve"> </w:t>
      </w:r>
      <w:r>
        <w:t xml:space="preserve">Correlations of cryptic</w:t>
      </w:r>
      <w:r>
        <w:t xml:space="preserve"> </w:t>
      </w:r>
      <w:r>
        <w:rPr>
          <w:i/>
          <w:iCs/>
        </w:rPr>
        <w:t xml:space="preserve">STMN2</w:t>
      </w:r>
      <w:r>
        <w:t xml:space="preserve"> </w:t>
      </w:r>
      <w:r>
        <w:t xml:space="preserve">PSI with target genes within ALS samples.</w:t>
      </w:r>
      <w:r>
        <w:t xml:space="preserve"> </w:t>
      </w:r>
      <w:r>
        <w:rPr>
          <w:b/>
          <w:bCs/>
        </w:rPr>
        <w:t xml:space="preserve">S10.</w:t>
      </w:r>
      <w:r>
        <w:t xml:space="preserve"> </w:t>
      </w:r>
      <w:r>
        <w:t xml:space="preserve">Nonsense-mediated decay interaction for the SOCE panel (four-condition analysis).</w:t>
      </w:r>
      <w:r>
        <w:t xml:space="preserve"> </w:t>
      </w:r>
      <w:r>
        <w:rPr>
          <w:b/>
          <w:bCs/>
        </w:rPr>
        <w:t xml:space="preserve">S11.</w:t>
      </w:r>
      <w:r>
        <w:t xml:space="preserve"> </w:t>
      </w:r>
      <w:r>
        <w:t xml:space="preserve">Depth-qualified candidate intronic polyadenylation and 3′UTR usage gradients from the corrected SH-SY5Y analysis; these are not direct poly(A)-site calls.</w:t>
      </w:r>
      <w:r>
        <w:t xml:space="preserve"> </w:t>
      </w:r>
      <w:r>
        <w:rPr>
          <w:b/>
          <w:bCs/>
        </w:rPr>
        <w:t xml:space="preserve">S12.</w:t>
      </w:r>
      <w:r>
        <w:t xml:space="preserve"> </w:t>
      </w:r>
      <w:r>
        <w:t xml:space="preserve">Cryptic event counts by dataset with FUS and TAF15 knockdown controls.</w:t>
      </w:r>
      <w:r>
        <w:t xml:space="preserve"> </w:t>
      </w:r>
      <w:r>
        <w:rPr>
          <w:b/>
          <w:bCs/>
        </w:rPr>
        <w:t xml:space="preserve">S13.</w:t>
      </w:r>
      <w:r>
        <w:t xml:space="preserve"> </w:t>
      </w:r>
      <w:r>
        <w:rPr>
          <w:i/>
          <w:iCs/>
        </w:rPr>
        <w:t xml:space="preserve">STIM2</w:t>
      </w:r>
      <w:r>
        <w:t xml:space="preserve"> </w:t>
      </w:r>
      <w:r>
        <w:t xml:space="preserve">SOAR exon at junction level, all datasets.</w:t>
      </w:r>
      <w:r>
        <w:t xml:space="preserve"> </w:t>
      </w:r>
      <w:r>
        <w:rPr>
          <w:b/>
          <w:bCs/>
        </w:rPr>
        <w:t xml:space="preserve">S14.</w:t>
      </w:r>
      <w:r>
        <w:t xml:space="preserve"> </w:t>
      </w:r>
      <w:r>
        <w:t xml:space="preserve">Control-versus-control null test of the cryptic calling procedure.</w:t>
      </w:r>
      <w:r>
        <w:t xml:space="preserve"> </w:t>
      </w:r>
      <w:r>
        <w:rPr>
          <w:b/>
          <w:bCs/>
        </w:rPr>
        <w:t xml:space="preserve">S15.</w:t>
      </w:r>
      <w:r>
        <w:t xml:space="preserve"> </w:t>
      </w:r>
      <w:r>
        <w:t xml:space="preserve">STIM2.1 exon analysis across six datasets.</w:t>
      </w:r>
      <w:r>
        <w:t xml:space="preserve"> </w:t>
      </w:r>
      <w:r>
        <w:rPr>
          <w:b/>
          <w:bCs/>
        </w:rPr>
        <w:t xml:space="preserve">S16.</w:t>
      </w:r>
      <w:r>
        <w:t xml:space="preserve"> </w:t>
      </w:r>
      <w:r>
        <w:t xml:space="preserve">Multiple sclerosis analysis, both cohorts, with myelin adjustment and the donor-level re-analysis.</w:t>
      </w:r>
      <w:r>
        <w:t xml:space="preserve"> </w:t>
      </w:r>
      <w:r>
        <w:rPr>
          <w:b/>
          <w:bCs/>
        </w:rPr>
        <w:t xml:space="preserve">S17.</w:t>
      </w:r>
      <w:r>
        <w:t xml:space="preserve"> </w:t>
      </w:r>
      <w:r>
        <w:t xml:space="preserve">Accession list for every dataset analysed, with design, library type and sample-to-group assignment.</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2026-09-18T15:36:09Z</dcterms:created>
  <dcterms:modified xsi:type="dcterms:W3CDTF">2026-09-18T15:36:09Z</dcterms:modified>
</cp:coreProperties>
</file>

<file path=docProps/custom.xml><?xml version="1.0" encoding="utf-8"?>
<Properties xmlns="http://schemas.openxmlformats.org/officeDocument/2006/custom-properties" xmlns:vt="http://schemas.openxmlformats.org/officeDocument/2006/docPropsVTypes"/>
</file>