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Fura-2-measured SOCE amplitude decreased from 1.542 ± 0.282 to 0.245 ± 0.083 Δ(F340/F380) (p = 0.0115; n = 3). The ER Ca²⁺ release comparison was inconclusive (p = 0.299).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of seven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measured 72 h after transduction; the day-5 endpoint described above applied to RNA collection from the separate RT-qPCR cultures.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(SOCE), following the established depletion–readdition paradigm. Both phases were quantified as Δ(F340/F380) relative to the respective preceding baseline (n = 3).</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allocated to 96-well plates, and cellular metabolic activity was assessed 48 h after seeding with the WST-1 assay (Premix WST-1, Takara Bio, cat. no. MK400). Cells were seeded at 10,000 per well in 100 µL in 96-well plates;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For the available 48-h data, n = 4;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the two Fura-2 comparisons used two-tailed Student’s t-tests (GraphPad Prism 10). WST-1 wells were summarised descriptively without an inferential test. Significance was set at adjusted p &lt; 0.05 for the four-target RT-qPCR family and p &lt; 0.05 for the other inferential analyses.</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rPr>
          <w:b w:val="1"/>
        </w:rPr>
        <w:t xml:space="preserve">3.1 TDP-43 knockdown reduces SOCE despite increased transcript levels of SOCE components</w:t>
      </w:r>
    </w:p>
    <w:p>
      <w:pPr>
        <w:pStyle w:val="FirstParagraph"/>
        <w:jc w:val="both"/>
      </w:pPr>
      <w:r>
        <w:t xml:space="preserve">Lentiviral shRNA reduced TARDBP mRNA by 94.4% relative to the non-targeting shRNA control and 94.8% relative to non-transduced cells (one-way ANOVA with Tukey’s test, p &lt; 0.0001, n = 4).</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(C) WST-1 metabolic signal at 48 h (n = 4; descriptive summary only). Bars represent means ± SEM; dots are individual measurements.</w:t>
      </w:r>
    </w:p>
    <w:p>
      <w:pPr>
        <w:pStyle w:val="BodyText"/>
        <w:jc w:val="both"/>
      </w:pPr>
      <w:r>
        <w:t xml:space="preserve">Functionally, however, the SOCE amplitude decreased markedly (Figure 2). The ER Ca²⁺-release means were 0.268 ± 0.042 and 0.180 ± 0.061 Δ(F340/F380) in the control and shTDP-43 groups, respectively (p = 0.299; two-tailed Student’s t-test). The Ca²⁺-readdition amplitudes were 1.542 ± 0.282 and 0.245 ± 0.083, respectively (p = 0.0115; two-tailed Student’s t-test; n = 3). At 48 h, the WST-1 signal was 61.5 ± 0.8% of control, a 38.5% decrease (n = 4).</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5016929"/>
            <wp:docPr id="2" name="Picture 2"/>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16929"/>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Representative traces from non-targeting shRNA control and shTDP-43 cells. CPA (10 µM) and CaCl₂ (1.5 mM) additions are indicated. (C) ER Ca²⁺ release after CPA (p = 0.299). (D) Ca²⁺-readdition amplitude (p = 0.0115). Panels C and D show individual measurements and mean ± SEM (n = 3; two-tailed Student’s t-tests).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4).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SOCE-machinery genes examined event by event (Methods 2.3) identified a small set of events supported by adequate coverage and bootstrap intervals excluding zero (Table 2, Supplementary Figure S3).</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32 events met both the threshold and the coverage criteria in five of the six datasets (iPSC colonies, mouse striatum, SH-SY5Y, C2C12 and NSC34)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jc w:val="both"/>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(Supplementary Figure S4B).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4;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In the full GSE138614 sample-level comparison, regression of TRPC1 on MBP, PLP1 and GFAP attenuated the unadjusted difference from δ = −0.562 to an adjusted effect of δ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4.</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Heading3"/>
        <w:rPr>
          <w:b w:val="1"/>
        </w:rPr>
        <w:jc w:val="left"/>
      </w:pPr>
      <w:r>
        <w:rPr>
          <w:b/>
        </w:rPr>
        <w:t xml:space="preserve">3.10 Exploratory analysis of ALS regional transcript patterns</w:t>
      </w:r>
    </w:p>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jc w:val="both"/>
      </w:pPr>
      <w:r>
        <w:t xml:space="preserve">No statistically supported association was detected between cryptic </w:t>
      </w:r>
      <w:r>
        <w:rPr>
          <w:i/>
          <w:iCs/>
        </w:rPr>
        <w:t xml:space="preserve">STMN2</w:t>
      </w:r>
      <w:r>
        <w:t xml:space="preserve"> inclusion and </w:t>
      </w:r>
      <w:r>
        <w:rPr>
          <w:i/>
          <w:iCs/>
        </w:rPr>
        <w:t xml:space="preserve">TRPC1</w:t>
      </w:r>
      <w:r>
        <w:t xml:space="preserve"> in any region (ρ = −0.19 to +0.18; all q &gt; 0.05). This exploratory analysis does not support attributing the regional </w:t>
      </w:r>
      <w:r>
        <w:rPr>
          <w:i/>
          <w:iCs/>
        </w:rPr>
        <w:t xml:space="preserve">TRPC1</w:t>
      </w:r>
      <w:r>
        <w:t xml:space="preserve"> expression differences to TDP-43 dysfunction; all tested correlations are provided in Supplementary Table S9.</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data therefore do not support simple loss of the core SOCE machinery. They instead point to altered channel composition, feedback inhibition, ER refilling and cellular bioenergetics as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The ER-release mean decreased from 0.268 to 0.180 Δ(F340/F380), while the subsequent SOCE amplitude showed a much larger proportional decrease. A smaller releasable store may therefore contribute, but it is unlikely to account on its own for the magnitude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localization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The discordance between a larger transcript pool and lower entry therefore favours a composition or regulatory mechanism over simple transcript insufficiency.</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present result establishes a reduction in SOCE associated with TDP-43 loss in SH-SY5Y cells and complements, rather than reproduces, the SOD1 astrocyte phenotype.</w:t>
      </w:r>
    </w:p>
    <w:p>
      <w:pPr>
        <w:pStyle w:val="BodyText"/>
        <w:jc w:val="both"/>
      </w:pPr>
      <w:r>
        <w:rPr>
          <w:b/>
        </w:rPr>
        <w:t xml:space="preserve">Metabolic and organelle coupling. </w:t>
      </w:r>
      <w:r>
        <w:t xml:space="preserve">The 48-h WST-1 signal was 38.5% lower after knockdown. The approximately 84% reduction in SOCE amplitude was more than twice this proportional change, arguing against simple scaling of the calcium phenotype by the WST-1 signal, although the assays were performed in separate preparations. This agrees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had a median |ΔPSI| of 0.37 and a median of 246 junction reads per event, was independently supported by the annotation-free analysis and showed the largest expression change among the SOCE-regulatory genes.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(ΔPSI +0.0013, 95% CI −0.022 to +0.024; p = 0.914).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t xml:space="preserve">Relevance to disease tissue. </w:t>
      </w:r>
      <w:r>
        <w:rPr>
          <w:i/>
          <w:iCs/>
        </w:rPr>
        <w:t xml:space="preserve">TRPC1</w:t>
      </w:r>
      <w:r>
        <w:t xml:space="preserve">, </w:t>
      </w:r>
      <w:r>
        <w:rPr>
          <w:i/>
          <w:iCs/>
        </w:rPr>
        <w:t xml:space="preserve">SARAF</w:t>
      </w:r>
      <w:r>
        <w:t xml:space="preserve"> and </w:t>
      </w:r>
      <w:r>
        <w:rPr>
          <w:i/>
          <w:iCs/>
        </w:rPr>
        <w:t xml:space="preserve">CBARP</w:t>
      </w:r>
      <w:r>
        <w:t xml:space="preserve"> differed between ALS and non-neurological control tissue in several regions, but the tissue pattern did not reproduce the cell model uniformly. </w:t>
      </w:r>
      <w:r>
        <w:rPr>
          <w:i/>
          <w:iCs/>
        </w:rPr>
        <w:t xml:space="preserve">TRPC1</w:t>
      </w:r>
      <w:r>
        <w:t xml:space="preserve"> increased in several cortical regions, remained unchanged in spinal cord and decreased in the neurological comparison cohorts. Because bulk-tissue expression is sensitive to region and cellular composition, these observations identify disease-associated candidates rather than a direct TDP-43-driven mechanism. The exploratory cryptic </w:t>
      </w:r>
      <w:r>
        <w:rPr>
          <w:i/>
          <w:iCs/>
        </w:rPr>
        <w:t xml:space="preserve">STMN2</w:t>
      </w:r>
      <w:r>
        <w:t xml:space="preserve"> analysis did not provide evidence linking regional </w:t>
      </w:r>
      <w:r>
        <w:rPr>
          <w:i/>
          <w:iCs/>
        </w:rPr>
        <w:t xml:space="preserve">TRPC1</w:t>
      </w:r>
      <w:r>
        <w:t xml:space="preserve"> abundance to TDP-43-dependent RNA processing. Together with the opposing direction of SOCE changes reported in SOD1 astrocytes, these findings indicate that cell identity and compensatory state shape the calcium-regulatory phenotype.</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A coherent model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depolarization-evoked Ca²⁺ entry or secretion than on CPA-triggered SOCE. These outcomes would distinguish store, channel-composition and broader calcium-network mechanisms and place the functional phenotype within a directly testable neurochemical framework.</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v1.0.0 at https://github.com/elmasnuryilmaz/tdp43-soce-manuscript/releases/tag/v1.0.0.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jc w:val="both"/>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w:t>
      </w:r>
    </w:p>
    <w:bookmarkEnd w:id="45"/>
    <w:bookmarkStart w:id="46" w:name="tables"/>
    <w:p>
      <w:pPr>
        <w:pStyle w:val="Heading2"/>
        <w:suppressLineNumbers/>
        <w:rPr>
          <w:b w:val="1"/>
        </w:rPr>
        <w:jc w:val="left"/>
      </w:pPr>
      <w:r>
        <w:rPr>
          <w:b w:val="1"/>
        </w:rPr>
        <w:t xml:space="preserve">Tables</w:t>
      </w:r>
    </w:p>
    <w:p>
      <w:pPr>
        <w:pStyle w:val="FirstParagraph"/>
        <w:keepNext/>
        <w:suppressLineNumbers/>
        <w:spacing w:before="0" w:after="120" w:line="240" w:lineRule="auto"/>
        <w:jc w:val="both"/>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jc w:val="both"/>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NA, not computed; CRAC, Ca²⁺ release-activated Ca²⁺.</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