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Fura-2-measured SOCE amplitude decreased from 1.542 ± 0.282 to 0.245 ± 0.083 Δ(F340/F380) (p = 0.0115; n = 3). The ER Ca²⁺ release comparison was inconclusive (p = 0.299).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measured 72 h after transduction; the day-5 endpoint described above applied to RNA collection from the separate RT-qPCR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(SOCE), following the established depletion–readdition paradigm. Both phases were quantified as Δ(F340/F380) relative to the respective preceding baseline (n = 3).</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allocated to 96-well plates, and cellular metabolic activity was assessed 48 h after seeding with the WST-1 assay (Premix WST-1, Takara Bio, cat. no. MK400). Cells were seeded at 10,000 per well in 100 µL in 96-well plates;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For the available 48-h data,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the two Fura-2 comparisons used two-tailed Student’s t-tests (GraphPad Prism 10). WST-1 wells were summarised descriptively without an inferential test. Significance was set at adjusted p &lt; 0.05 for the four-target RT-qPCR family and p &lt; 0.05 for the other inferential analyses.</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rPr>
          <w:b w:val="1"/>
        </w:rPr>
        <w:t xml:space="preserve">3.1 TDP-43 knockdown reduces SOCE despite increased transcript levels of SOCE components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(C) WST-1 metabolic signal at 48 h (n = 4; descriptive summary only). Bars represent means ± SEM; dots are individual measurements.</w:t>
      </w:r>
    </w:p>
    <w:p>
      <w:pPr>
        <w:pStyle w:val="BodyText"/>
        <w:jc w:val="both"/>
      </w:pPr>
      <w:r>
        <w:t xml:space="preserve">Functionally, however, the SOCE amplitude decreased markedly (Figure 2). The ER Ca²⁺-release means were 0.268 ± 0.042 and 0.180 ± 0.061 Δ(F340/F380) in the control and shTDP-43 groups, respectively (p = 0.299; two-tailed Student’s t-test). The Ca²⁺-readdition amplitudes were 1.542 ± 0.282 and 0.245 ± 0.083, respectively (p = 0.0115; two-tailed Student’s t-test; n = 3). At 48 h, the WST-1 signal was 61.5 ± 0.8% of control, a 38.5% decrease (n = 4).</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Representative traces from non-targeting shRNA control and shTDP-43 cells. CPA (10 µM) and CaCl₂ (1.5 mM) additions are indicated. (C) ER Ca²⁺ release after CPA (p = 0.299). (D) Ca²⁺-readdition amplitude (p = 0.0115). Panels C and D show individual measurements and mean ± SEM (n = 3; two-tailed Student’s t-tests).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4).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2,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In the full GSE138614 sample-level comparison, regression of TRPC1 on MBP, PLP1 and GFAP attenuated the unadjusted difference from δ = −0.562 to an adjusted effect of δ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val="1"/>
        </w:rPr>
        <w:t xml:space="preserve">3.10 A junction-based marker of TDP-43 dysfunction does not correlate with TRPC1 within ALS regions</w:t>
      </w:r>
    </w:p>
    <w:p>
      <w:pPr>
        <w:pStyle w:val="FirstParagraph"/>
        <w:jc w:val="bot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jc w:val="both"/>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(Supplementary Figure S8A):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jc w:val="both"/>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Supplementary Figure S8B,C).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jc w:val="both"/>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The table contains 231 correlations: 121 for each proxy before exclusions, less the eleven trivial correlations of gene-level</w:t>
      </w:r>
      <w:r>
        <w:t xml:space="preserve"> </w:t>
      </w:r>
      <w:r>
        <w:rPr>
          <w:i/>
          <w:iCs/>
        </w:rPr>
        <w:t xml:space="preserve">STMN2</w:t>
      </w:r>
      <w:r>
        <w:t xml:space="preserve"> </w:t>
      </w:r>
      <w:r>
        <w:t xml:space="preserve">with itself. Benjamini–Hochberg correction was therefore applied to 220 informative correlations (110 per proxy). Of the 110 correlations with the junction-based marker, eight survived correction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all three were internally consistent. Additional associations involved</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jc w:val="both"/>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data therefore do not support simple loss of the core SOCE machinery. They instead point to altered channel composition, feedback inhibition, ER refilling and cellular bioenergetics as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A smaller releasable store may therefore contribute, but it is unlikely to account on its own for the magnitude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The discordance between a larger transcript pool and lower entry therefore favours a composition or regulatory mechanism over simple transcript insufficiency.</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present result establishes a reduction in SOCE associated with TDP-43 loss in SH-SY5Y cells and complements, rather than reproduces, the SOD1 astrocyte phenotype.</w:t>
      </w:r>
    </w:p>
    <w:p>
      <w:pPr>
        <w:pStyle w:val="BodyText"/>
        <w:jc w:val="both"/>
      </w:pPr>
      <w:r>
        <w:rPr>
          <w:b/>
        </w:rPr>
        <w:t xml:space="preserve">Metabolic and organelle coupling. </w:t>
      </w:r>
      <w:r>
        <w:t xml:space="preserve">The 48-h WST-1 signal was 38.5% lower after knockdown. The approximately 84% reduction in SOCE amplitude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TRPC1, SARAF and CBARP differed between ALS and non-neurological control tissue in several regions, but the tissue pattern did not simply reproduce the cell model. TRPC1 increased in several cortical regions while remaining unchanged in spinal cord, and its direction differed in the comparison cohorts. Cryptic STMN2 was most abundant in spinal cord, where TRPC1 did not increase, whereas cortical TRPC1 increases occurred where the cryptic junction was comparatively uncommon. Gene-level STMN2 strongly tracked neuronal content, and junction-level cryptic STMN2 did not correlate with TRPC1 within ALS regions. These regional results, together with the opposing SOCE direction in SOD1 astrocytes, indicate that cell composition and compensatory state can dominate bulk-tissue expression. The disease data therefore support involvement of the same calcium-regulatory network, while the discordance argues against a single linear path from TDP-43 dysfunction to TRPC1 abundance across all tissues.</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Coverage-based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v1.0.0 at https://github.com/elmasnuryilmaz/tdp43-soce-manuscript/releases/tag/v1.0.0.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w:t>
      </w:r>
    </w:p>
    <w:bookmarkEnd w:id="45"/>
    <w:bookmarkStart w:id="46" w:name="tables"/>
    <w:p>
      <w:pPr>
        <w:pStyle w:val="Heading2"/>
        <w:suppressLineNumbers/>
        <w:rPr>
          <w:b w:val="1"/>
        </w:rPr>
        <w:jc w:val="left"/>
      </w:pPr>
      <w:r>
        <w:rPr>
          <w:b w:val="1"/>
        </w:rPr>
        <w:t xml:space="preserve">Tables</w:t>
      </w:r>
    </w:p>
    <w:p>
      <w:pPr>
        <w:pStyle w:val="FirstParagraph"/>
        <w:keepNext/>
        <w:suppressLineNumbers/>
        <w:spacing w:before="0" w:after="120" w:line="240" w:lineRule="auto"/>
        <w:jc w:val="both"/>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NA, not computed; CRAC, Ca²⁺ release-activated Ca²⁺.</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