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about two-thirds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Equivalent windows were built for 687 orthologous mouse genes. The corrected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98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the donor-level values are the ones reported.</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a single culture plate and are therefore not independent culture days.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C2C12 and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Two units outside the core panel are of comparable size to the</w:t>
      </w:r>
      <w:r>
        <w:t xml:space="preserve"> </w:t>
      </w:r>
      <w:r>
        <w:rPr>
          <w:i/>
          <w:iCs/>
        </w:rPr>
        <w:t xml:space="preserve">STIM</w:t>
      </w:r>
      <w:r>
        <w:t xml:space="preserve"> </w:t>
      </w:r>
      <w:r>
        <w:t xml:space="preserve">gradients and likewise exclude zero — the</w:t>
      </w:r>
      <w:r>
        <w:t xml:space="preserve"> </w:t>
      </w:r>
      <w:r>
        <w:rPr>
          <w:i/>
          <w:iCs/>
        </w:rPr>
        <w:t xml:space="preserve">ITPR3</w:t>
      </w:r>
      <w:r>
        <w:t xml:space="preserve"> </w:t>
      </w:r>
      <w:r>
        <w:t xml:space="preserve">terminal exon (−0.152) and the</w:t>
      </w:r>
      <w:r>
        <w:t xml:space="preserve"> </w:t>
      </w:r>
      <w:r>
        <w:rPr>
          <w:i/>
          <w:iCs/>
        </w:rPr>
        <w:t xml:space="preserve">MICU3</w:t>
      </w:r>
      <w:r>
        <w:t xml:space="preserve"> </w:t>
      </w:r>
      <w:r>
        <w:t xml:space="preserve">terminal exon (+0.097), with</w:t>
      </w:r>
      <w:r>
        <w:t xml:space="preserve"> </w:t>
      </w:r>
      <w:r>
        <w:rPr>
          <w:i/>
          <w:iCs/>
        </w:rPr>
        <w:t xml:space="preserve">ITPR1</w:t>
      </w:r>
      <w:r>
        <w:t xml:space="preserve"> </w:t>
      </w:r>
      <w:r>
        <w:t xml:space="preserve">at −0.055 — so the ER-release and mitochondrial-uptake arms show the same kind of candidate gradient as</w:t>
      </w:r>
      <w:r>
        <w:t xml:space="preserve"> </w:t>
      </w:r>
      <w:r>
        <w:rPr>
          <w:i/>
          <w:iCs/>
        </w:rPr>
        <w:t xml:space="preserve">STIM1</w:t>
      </w:r>
      <w:r>
        <w:t xml:space="preserve"> </w:t>
      </w:r>
      <w:r>
        <w:t xml:space="preserve">and</w:t>
      </w:r>
      <w:r>
        <w:t xml:space="preserve"> </w:t>
      </w:r>
      <w:r>
        <w:rPr>
          <w:i/>
          <w:iCs/>
        </w:rPr>
        <w:t xml:space="preserve">STIM2</w:t>
      </w:r>
      <w:r>
        <w:t xml:space="preserve"> </w:t>
      </w:r>
      <w:r>
        <w:t xml:space="preserve">rather than being spared.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while in SH-SY5Y the same unit is uninformative (0.000, interval −0.264 to +0.241).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+0.051), PLP1 (−0.074), MOG (−0.257)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−0.562 → −0.418;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samples per group for Ca²⁺ imaging and four wells for viability, and the three Ca²⁺ samples of each group were prepared from a single culture plate rather than on independent culture days; they are therefore not independent biological replicates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Excluding reference skips reduced the</w:t>
      </w:r>
      <w:r>
        <w:t xml:space="preserve"> </w:t>
      </w:r>
      <w:r>
        <w:rPr>
          <w:i/>
          <w:iCs/>
        </w:rPr>
        <w:t xml:space="preserve">STMN2</w:t>
      </w:r>
      <w:r>
        <w:t xml:space="preserve"> </w:t>
      </w:r>
      <w:r>
        <w:t xml:space="preserve">positive control in SH-SY5Y from a near-complete shift to +0.145 (bootstrap 95% CI +0.085 to +0.205), and the control then falls just below the pre-specified depth filter, so the negative result in that model rests on an assay whose sensitivity could not be demonstrated there. Across the four comparisons in which the corrected analysis could be run, the assay’s own positive control is informative in the two neuronal models — the iPSC-derived motor neurons and NSC34 — and silent in SH-SY5Y and in the C2C12 myoblast line; the iPSC-derived motor neurons have only two replicates per group, so the interval around their working control is coarse. The analysis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in SH-SY5Y, neither of which was confirmed in another comparison, and no large APA shift in the core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samples per group, prepared from a single culture plate).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core SOCE machinery genes in the primary SH-SY5Y model, with bootstrap confidence intervals. The</w:t>
      </w:r>
      <w:r>
        <w:t xml:space="preserve"> </w:t>
      </w:r>
      <w:r>
        <w:rPr>
          <w:i/>
          <w:iCs/>
        </w:rPr>
        <w:t xml:space="preserve">CBARP</w:t>
      </w:r>
      <w:r>
        <w:t xml:space="preserve"> </w:t>
      </w:r>
      <w:r>
        <w:t xml:space="preserve">events, which lie outside the core panel, are in Supplementary Table S3.</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rMATS events meeting FDR &lt; 0.05 and |ΔPSI| ≥ 0.10, JC and JCEC, six datasets, with the raw junction counts needed to reproduce the coverage pre-filter.</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High-confidence unannotated splicing changes in every comparison, including the independently produced mapping-quality-filtered SH-SY5Y junction set.</w:t>
      </w:r>
      <w:r>
        <w:t xml:space="preserve"> </w:t>
      </w:r>
      <w:r>
        <w:rPr>
          <w:b/>
          <w:bCs/>
        </w:rPr>
        <w:t xml:space="preserve">S6.</w:t>
      </w:r>
      <w:r>
        <w:t xml:space="preserve"> </w:t>
      </w:r>
      <w:r>
        <w:t xml:space="preserve">Cryptic positive controls, the sixteen literature genes, and the dataset × gene recovery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r>
        <w:t xml:space="preserve"> </w:t>
      </w:r>
      <w:r>
        <w:rPr>
          <w:b/>
          <w:bCs/>
        </w:rPr>
        <w:t xml:space="preserve">S10.</w:t>
      </w:r>
      <w:r>
        <w:t xml:space="preserve"> </w:t>
      </w:r>
      <w:r>
        <w:t xml:space="preserve">Nonsense-mediated decay interaction for the SOCE panel and the panel-level tests, four-condition analysis.</w:t>
      </w:r>
      <w:r>
        <w:t xml:space="preserve"> </w:t>
      </w:r>
      <w:r>
        <w:rPr>
          <w:b/>
          <w:bCs/>
        </w:rPr>
        <w:t xml:space="preserve">S11.</w:t>
      </w:r>
      <w:r>
        <w:t xml:space="preserve"> </w:t>
      </w:r>
      <w:r>
        <w:t xml:space="preserve">Depth-qualified intronic polyadenylation and 3′UTR usage estimates from the corrected analysis in all four comparisons; these are coverage gradients, not direct poly(A)-site calls.</w:t>
      </w:r>
      <w:r>
        <w:t xml:space="preserve"> </w:t>
      </w:r>
      <w:r>
        <w:rPr>
          <w:b/>
          <w:bCs/>
        </w:rPr>
        <w:t xml:space="preserve">S12.</w:t>
      </w:r>
      <w:r>
        <w:t xml:space="preserve"> </w:t>
      </w:r>
      <w:r>
        <w:t xml:space="preserve">Machine-readable version of Table 3: cryptic event counts by comparison, with the FUS and TAF15 knockdown controls and the null-test ratios.</w:t>
      </w:r>
      <w:r>
        <w:t xml:space="preserve"> </w:t>
      </w: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2026-09-18T16:58:39Z</dcterms:created>
  <dcterms:modified xsi:type="dcterms:W3CDTF">2026-09-18T16:58:39Z</dcterms:modified>
</cp:coreProperties>
</file>

<file path=docProps/custom.xml><?xml version="1.0" encoding="utf-8"?>
<Properties xmlns="http://schemas.openxmlformats.org/officeDocument/2006/custom-properties" xmlns:vt="http://schemas.openxmlformats.org/officeDocument/2006/docPropsVTypes"/>
</file>