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Highlights</w:t>
      </w:r>
    </w:p>
    <w:p>
      <w:pPr>
        <w:pStyle w:val="ListBullet"/>
      </w:pPr>
      <w:r>
        <w:t>One-plate Fura-2 measurements showed a lower calcium-readdition response.</w:t>
      </w:r>
    </w:p>
    <w:p>
      <w:pPr>
        <w:pStyle w:val="ListBullet"/>
      </w:pPr>
      <w:r>
        <w:t>RT-qPCR in four biological replicates showed higher calcium-regulatory mRNAs.</w:t>
      </w:r>
    </w:p>
    <w:p>
      <w:pPr>
        <w:pStyle w:val="ListBullet"/>
      </w:pPr>
      <w:r>
        <w:rPr>
          <w:i/>
        </w:rPr>
        <w:t xml:space="preserve">CBARP</w:t>
      </w:r>
      <w:r>
        <w:t xml:space="preserve"> splicing changed in five of six TDP-43-depletion RNA-seq datasets.</w:t>
      </w:r>
    </w:p>
    <w:p>
      <w:pPr>
        <w:pStyle w:val="ListBullet"/>
      </w:pPr>
      <w:r>
        <w:rPr>
          <w:i/>
        </w:rPr>
        <w:t xml:space="preserve">TRPC1</w:t>
      </w:r>
      <w:r>
        <w:t xml:space="preserve"> and </w:t>
      </w:r>
      <w:r>
        <w:rPr>
          <w:i/>
        </w:rPr>
        <w:t xml:space="preserve">SARAF</w:t>
      </w:r>
      <w:r>
        <w:t xml:space="preserve"> increased in six ALS brain regions.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