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Calcium-regulatory RNA candidates after TDP-43 knockdown in SH-SY5Y cells: reanalysis of public RNA-seq data and a single-plate Ca²⁺-readdition observation</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rPr/>
        <w:t xml:space="preserve">TDP-43 loss is implicated in amyotrophic lateral sclerosis (ALS), but its relationship to store-operated Ca²⁺ entry (SOCE) is unclear. After shRNA-mediated </w:t>
      </w:r>
      <w:r>
        <w:rPr>
          <w:i/>
        </w:rPr>
        <w:t xml:space="preserve">TARDBP</w:t>
      </w:r>
      <w:r>
        <w:rPr/>
        <w:t xml:space="preserve"> depletion in SH-SY5Y cells, </w:t>
      </w:r>
      <w:r>
        <w:rPr>
          <w:i/>
        </w:rPr>
        <w:t xml:space="preserve">TRPC1</w:t>
      </w:r>
      <w:r>
        <w:rPr/>
        <w:t xml:space="preserve">, </w:t>
      </w:r>
      <w:r>
        <w:rPr>
          <w:i/>
        </w:rPr>
        <w:t xml:space="preserve">STIM1</w:t>
      </w:r>
      <w:r>
        <w:rPr/>
        <w:t xml:space="preserve">, </w:t>
      </w:r>
      <w:r>
        <w:rPr>
          <w:i/>
        </w:rPr>
        <w:t xml:space="preserve">ORAI1</w:t>
      </w:r>
      <w:r>
        <w:rPr/>
        <w:t xml:space="preserve"> and </w:t>
      </w:r>
      <w:r>
        <w:rPr>
          <w:i/>
        </w:rPr>
        <w:t xml:space="preserve">ATP2A3</w:t>
      </w:r>
      <w:r>
        <w:rPr/>
        <w:t xml:space="preserve"> mRNA measurements were 1.7- to 3.2-fold higher (four biological RT-qPCR replicates per group). In one Fura-2 culture plate (three wells per group; descriptive), the Ca²⁺-readdition amplitude was 84% lower in knockdown wells, ER Ca²⁺ release 33% lower and the readdition-to-release ratio 77% lower; this observation motivated the RNA analyses but was not paired with the RT-qPCR or RNA-seq samples. The 48-h WST-1 signal was 38.5% lower (four wells, one experiment; descriptive). We reanalysed six public TDP-43-depletion RNA-seq comparisons (38 libraries) for calcium-regulatory expression and splicing, screened eleven comparisons for unannotated junction changes, and examined alternative polyadenylation and nonsense-mediated decay descriptively. </w:t>
      </w:r>
      <w:r>
        <w:rPr>
          <w:i/>
        </w:rPr>
        <w:t xml:space="preserve">CBARP</w:t>
      </w:r>
      <w:r>
        <w:rPr/>
        <w:t xml:space="preserve"> was the most reproducible splicing candidate across species, whereas </w:t>
      </w:r>
      <w:r>
        <w:rPr>
          <w:i/>
        </w:rPr>
        <w:t xml:space="preserve">STIM2</w:t>
      </w:r>
      <w:r>
        <w:rPr/>
        <w:t xml:space="preserve">, </w:t>
      </w:r>
      <w:r>
        <w:rPr>
          <w:i/>
        </w:rPr>
        <w:t xml:space="preserve">STIMATE</w:t>
      </w:r>
      <w:r>
        <w:rPr/>
        <w:t xml:space="preserve"> and </w:t>
      </w:r>
      <w:r>
        <w:rPr>
          <w:i/>
        </w:rPr>
        <w:t xml:space="preserve">ORAI3</w:t>
      </w:r>
      <w:r>
        <w:rPr/>
        <w:t xml:space="preserve"> events were supported in the primary RNA-seq model. No confirmed RNA-processing event in the core SOCE-pathway genes explained the Fura-2 difference. In ALS tissue, </w:t>
      </w:r>
      <w:r>
        <w:rPr>
          <w:i/>
        </w:rPr>
        <w:t xml:space="preserve">TRPC1</w:t>
      </w:r>
      <w:r>
        <w:rPr/>
        <w:t xml:space="preserve"> and </w:t>
      </w:r>
      <w:r>
        <w:rPr>
          <w:i/>
        </w:rPr>
        <w:t xml:space="preserve">SARAF</w:t>
      </w:r>
      <w:r>
        <w:rPr/>
        <w:t xml:space="preserve"> increased and </w:t>
      </w:r>
      <w:r>
        <w:rPr>
          <w:i/>
        </w:rPr>
        <w:t xml:space="preserve">CBARP</w:t>
      </w:r>
      <w:r>
        <w:rPr/>
        <w:t xml:space="preserve"> decreased in six brain regions, and </w:t>
      </w:r>
      <w:r>
        <w:rPr>
          <w:i/>
        </w:rPr>
        <w:t xml:space="preserve">SARAF</w:t>
      </w:r>
      <w:r>
        <w:rPr/>
        <w:t xml:space="preserve"> and </w:t>
      </w:r>
      <w:r>
        <w:rPr>
          <w:i/>
        </w:rPr>
        <w:t xml:space="preserve">CBARP</w:t>
      </w:r>
      <w:r>
        <w:rPr/>
        <w:t xml:space="preserve"> changed in the same direction in cervical and lumbar cord, but these tissue associations could not be attributed to TDP-43 loss. The RNA analyses identify candidate calcium-regulatory changes without establishing a causal link to the Fura-2 response, which requires independent biological replication.</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measured the Ca²⁺-readdition response of a store-depletion–readdition protocol, and target mRNAs, in separate SH-SY5Y cultures after shRNA-mediated TDP-43 depletion; the Fura-2 observation comes from a single culture plate and served to motivate the RNA analyses, not to establish a phenotype. We then used public RNA-seq datasets to examine calcium-regulatory transcript abundance and the three routes by which TDP-43 loss is known to change RNA processing: annotated and cryptic splicing, alternative polyadenylation, which generates the truncated </w:t>
      </w:r>
      <w:r>
        <w:rPr>
          <w:i/>
        </w:rPr>
        <w:t xml:space="preserve">STMN2</w:t>
      </w:r>
      <w:r>
        <w:t xml:space="preserve"> transcript, and coupling to nonsense-mediated decay. Read-support and robustness checks are applied throughout to the splicing results. Finally, we asked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xml:space="preserve">, were added for the annotation-free junction analysis only (Section 2.5) and were not processed with rMATS or DESeq2. Inclusion required a condition reducing </w:t>
      </w:r>
      <w:r>
        <w:rPr>
          <w:i/>
        </w:rPr>
        <w:t xml:space="preserve">TARDBP</w:t>
      </w:r>
      <w:r>
        <w:t xml:space="preserve">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rPr>
          <w:i w:val="0"/>
        </w:rPr>
        <w:t xml:space="preserve">Differential expression was analysed on gene-level counts. For the primary SH-SY5Y comparison (GSE296712; 0 versus 75 ng/mL doxycycline, three libraries per group), every DESeq2 statistic reported here was computed on Salmon estimated counts summed to genes with the complete transcript-to-gene map (Section 2.4). A count of the same six libraries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rPr>
          <w:i w:val="0"/>
        </w:rPr>
        <w:t>(Liao et al., 2014)</w:t>
      </w:r>
      <w:r>
        <w:fldChar w:fldCharType="end"/>
      </w:r>
      <w:r>
        <w:rPr>
          <w:i w:val="0"/>
        </w:rPr>
        <w:t xml:space="preserve"> at meta-feature level against the GENCODE v47 basic annotation (</w:t>
      </w:r>
      <w:r>
        <w:rPr>
          <w:rStyle w:val="VerbatimChar"/>
          <w:i w:val="0"/>
        </w:rPr>
        <w:t>-s 0 -g gene_name</w:t>
      </w:r>
      <w:r>
        <w:rPr>
          <w:i w:val="0"/>
        </w:rPr>
        <w:t>, with</w:t>
      </w:r>
      <w:r>
        <w:rPr>
          <w:i w:val="0"/>
        </w:rPr>
        <w:t xml:space="preserve"> </w:t>
      </w:r>
      <w:r>
        <w:rPr>
          <w:rStyle w:val="VerbatimChar"/>
          <w:i w:val="0"/>
        </w:rPr>
        <w:t>-p --countReadPairs</w:t>
      </w:r>
      <w:r>
        <w:rPr>
          <w:i w:val="0"/>
        </w:rPr>
        <w:t xml:space="preserve"> for paired-end libraries; multi-mapping and multi-overlapping reads not counted) gave similar log2 fold changes (Pearson r = 0.85 across the 20,833 genes counted in both). Counts were modelled with DESeq2 v1.42.1 </w:t>
      </w:r>
      <w:r>
        <w:rPr>
          <w:i w:val="0"/>
        </w:rPr>
        <w:t xml:space="preserve"/>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rPr>
          <w:i w:val="0"/>
        </w:rPr>
        <w:t>(Love et al., 2014)</w:t>
      </w:r>
      <w:r>
        <w:fldChar w:fldCharType="end"/>
      </w:r>
      <w:r>
        <w:rPr>
          <w:i w:val="0"/>
        </w:rPr>
        <w:t xml:space="preserve">,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rPr>
          <w:i w:val="0"/>
        </w:rPr>
        <w:t>(Benjamini and Hochberg, 1995)</w:t>
      </w:r>
      <w:r>
        <w:fldChar w:fldCharType="end"/>
      </w:r>
      <w:r>
        <w:rPr>
          <w:i w:val="0"/>
        </w:rP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rPr>
          <w:i w:val="0"/>
        </w:rPr>
        <w:t>(sva v3.50.0; Leek, 2014)</w:t>
      </w:r>
      <w:r>
        <w:fldChar w:fldCharType="end"/>
      </w:r>
      <w:r>
        <w:rPr>
          <w:i w:val="0"/>
        </w:rPr>
        <w:t xml:space="preserve">, which estimated two surrogate variables in the primary SH-SY5Y comparison; the refit with these variables is reported in Section 3.2 and Supplementary Results 5.</w:t>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rPr>
          <w:i w:val="0"/>
        </w:rP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r>
        <w:rPr>
          <w:i/>
        </w:rPr>
        <w:t xml:space="preserve"/>
      </w:r>
      <w:r>
        <w:t xml:space="preserve"/>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SOCE-pathway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For Supplementary Figure S1, detection power was simulated for a 3 + 3 design at fixed depths of 10, 20, 50 and 100 informative reads per sample: replicate PSI was drawn from a normal distribution around 0.5 ± ΔPSI/2 (standard deviation 0.05, limited to 0.01–0.99), reads were sampled binomially, groups were compared with a two-sample t test at nominal p &lt; 0.05, and each condition was simulated 2,000 times. The simulation does not reproduce the rMATS model, its FDR correction or its |ΔPSI| threshold.</w:t>
      </w:r>
    </w:p>
    <w:bookmarkEnd w:id="13"/>
    <w:bookmarkStart w:id="14" w:name="isoform-usage"/>
    <w:p>
      <w:pPr>
        <w:pStyle w:val="Heading3"/>
        <w:rPr>
          <w:b w:val="1"/>
        </w:rPr>
        <w:jc w:val="left"/>
      </w:pPr>
      <w:r>
        <w:rPr>
          <w:b w:val="1"/>
        </w:rPr>
        <w:t xml:space="preserve">2.4 Isoform usage</w:t>
      </w:r>
    </w:p>
    <w:p>
      <w:pPr>
        <w:pStyle w:val="FirstParagraph"/>
        <w:jc w:val="both"/>
      </w:pPr>
      <w:r>
        <w:rPr>
          <w:i w:val="0"/>
        </w:rP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rPr>
          <w:i w:val="0"/>
        </w:rPr>
        <w:t>(Patro et al., 2017)</w:t>
      </w:r>
      <w:r>
        <w:fldChar w:fldCharType="end"/>
      </w:r>
      <w:r>
        <w:rPr>
          <w:i w:val="0"/>
        </w:rP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rPr>
          <w:i w:val="0"/>
        </w:rPr>
        <w:t>(Vitting-Seerup and Sandelin, 2019)</w:t>
      </w:r>
      <w:r>
        <w:fldChar w:fldCharType="end"/>
      </w:r>
      <w:r>
        <w:rPr>
          <w:i w:val="0"/>
        </w:rP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rPr>
          <w:i w:val="0"/>
        </w:rPr>
        <w:t>(Nowicka and Robinson, 2016)</w:t>
      </w:r>
      <w:r>
        <w:fldChar w:fldCharType="end"/>
      </w:r>
      <w:r>
        <w:rPr>
          <w:i w:val="0"/>
        </w:rP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rPr>
          <w:i w:val="0"/>
        </w:rPr>
        <w:t>(Van den Berge et al., 2017)</w:t>
      </w:r>
      <w:r>
        <w:fldChar w:fldCharType="end"/>
      </w:r>
      <w:r>
        <w:rPr>
          <w:i w:val="0"/>
        </w:rPr>
        <w:t xml:space="preserve">, including prediction of open reading frames, premature termination codons, sensitivity to nonsense-mediated decay (NMD) and protein-domain consequences. DRIMSeq gene-level q values describe the screening stage, and stageR supplies transcript-level confirmation. Features with missing DRIMSeq p values are not eligible for confirmation. Separate IsoformSwitchAnalyzeR/DEXSeq isoform-usage results are identified as such and are not stageR confirmation values.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rPr>
          <w:i w:val="0"/>
        </w:rPr>
        <w:t>(Li et al., 2018)</w:t>
      </w:r>
      <w:r>
        <w:fldChar w:fldCharType="end"/>
      </w:r>
      <w:r>
        <w:rPr>
          <w:i w:val="0"/>
        </w:rP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rPr>
          <w:i w:val="0"/>
        </w:rPr>
        <w:t>(Trincado et al., 2018)</w:t>
      </w:r>
      <w:r>
        <w:fldChar w:fldCharType="end"/>
      </w:r>
      <w:r>
        <w:rPr>
          <w:i w:val="0"/>
        </w:rP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rPr>
          <w:i w:val="0"/>
        </w:rPr>
        <w:t xml:space="preserve">Splice junctions were extracted directly from the alignments in two independent ways, to assess sensitivity to the extraction rules.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rPr>
          <w:i w:val="0"/>
        </w:rPr>
        <w:t>(Cotto et al., 2023;</w:t>
      </w:r>
      <w:r>
        <w:rPr>
          <w:i w:val="0"/>
        </w:rPr>
        <w:t xml:space="preserve"> </w:t>
      </w:r>
      <w:r>
        <w:rPr>
          <w:rStyle w:val="VerbatimChar"/>
          <w:i w:val="0"/>
        </w:rPr>
        <w:t>junctions extract -s XS -a 8 -m 50 -M 1000000</w:t>
      </w:r>
      <w:r>
        <w:rPr>
          <w:i w:val="0"/>
        </w:rPr>
        <w:t>)</w:t>
      </w:r>
      <w:r>
        <w:fldChar w:fldCharType="end"/>
      </w:r>
      <w:r>
        <w:rPr>
          <w:i w:val="0"/>
        </w:rP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concordance of direction and significance is reported separately.</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 </w:t>
      </w:r>
      <w:r>
        <w:rPr>
          <w:b/>
        </w:rPr>
        <w:t xml:space="preserve">stringent-filter unannotated splicing candidate</w:t>
      </w:r>
      <w:r>
        <w:t xml:space="preserve"> requires a novel splice site, ΔPSI ≥ 0.20, q &lt; 0.05, a bootstrap lower bound above 0.05, at least 20 reads in the knockdown group, and non-zero counts in every knockdown replicate. The name describes the filter and does not imply validated specificity. A requirement of zero counts in controls was deliberately not imposed, because it removes genuinely cryptic exons with basal leakiness, </w:t>
      </w:r>
      <w:r>
        <w:rPr>
          <w:i/>
        </w:rPr>
        <w:t xml:space="preserve">STMN2</w:t>
      </w:r>
      <w:r>
        <w:t xml:space="preserve"> among them. Positive-control recovery, not call count, is used throughout as the measure of whether an analysis detects known targets;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The method treats aberrant splicing as a rare deviation from a cohort norm, whereas two thirds of this cohort are depleted samples; the run is therefore treated as a limit of the approach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rPr>
          <w:i w:val="0"/>
        </w:rPr>
        <w:t>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rPr>
          <w:i w:val="0"/>
        </w:rPr>
        <w:t xml:space="preserve"> TDP-43 knockdown crossed with knockdown of </w:t>
      </w:r>
      <w:r>
        <w:rPr>
          <w:i/>
        </w:rPr>
        <w:t>XRN1</w:t>
      </w:r>
      <w:r>
        <w:rPr>
          <w:i w:val="0"/>
        </w:rPr>
        <w:t xml:space="preserve">, </w:t>
      </w:r>
      <w:r>
        <w:rPr>
          <w:i/>
        </w:rPr>
        <w:t>UPF1</w:t>
      </w:r>
      <w:r>
        <w:rPr>
          <w:i w:val="0"/>
        </w:rPr>
        <w:t xml:space="preserve"> and </w:t>
      </w:r>
      <w:r>
        <w:rPr>
          <w:i/>
        </w:rPr>
        <w:t>SMG6</w:t>
      </w:r>
      <w:r>
        <w:rPr>
          <w:i w:val="0"/>
        </w:rPr>
        <w:t xml:space="preserve"> in four combinations, two replicates each)</w:t>
      </w:r>
      <w:r>
        <w:fldChar w:fldCharType="end"/>
      </w:r>
      <w:r>
        <w:rPr>
          <w:i w:val="0"/>
        </w:rPr>
        <w:t xml:space="preserve"> and normalised with the authors’ size factors. Sequencing batch is confounded with TDP-43 status in that design, so the interaction was summarised as a difference of within-batch differences for each of the four NMD-inhibition conditions. These contrasts share the same baseline libraries and are not independent biological replicates. We report point estimates descriptively, without inferential p or q values. The contrast definition and gene filter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nineteen-gene SOCE-associated set, this refers to a fixed list: </w:t>
      </w:r>
      <w:r>
        <w:rPr>
          <w:i/>
        </w:rPr>
        <w:t xml:space="preserve">STIM1</w:t>
      </w:r>
      <w:r>
        <w:t xml:space="preserve">, </w:t>
      </w:r>
      <w:r>
        <w:rPr>
          <w:i/>
        </w:rPr>
        <w:t xml:space="preserve">STIM2</w:t>
      </w:r>
      <w:r>
        <w:t xml:space="preserve">, </w:t>
      </w:r>
      <w:r>
        <w:rPr>
          <w:i/>
        </w:rPr>
        <w:t xml:space="preserve">ORAI1–3</w:t>
      </w:r>
      <w:r>
        <w:t xml:space="preserve">, </w:t>
      </w:r>
      <w:r>
        <w:rPr>
          <w:i/>
        </w:rPr>
        <w:t xml:space="preserve">TRPC1</w:t>
      </w:r>
      <w:r>
        <w:t xml:space="preserve">, </w:t>
      </w:r>
      <w:r>
        <w:rPr>
          <w:i/>
        </w:rPr>
        <w:t xml:space="preserve">SARAF</w:t>
      </w:r>
      <w:r>
        <w:t xml:space="preserve">, </w:t>
      </w:r>
      <w:r>
        <w:rPr>
          <w:i/>
        </w:rPr>
        <w:t xml:space="preserve">STIMATE</w:t>
      </w:r>
      <w:r>
        <w:t xml:space="preserve">, </w:t>
      </w:r>
      <w:r>
        <w:rPr>
          <w:i/>
        </w:rPr>
        <w:t xml:space="preserve">CBARP</w:t>
      </w:r>
      <w:r>
        <w:t xml:space="preserve">, </w:t>
      </w:r>
      <w:r>
        <w:rPr>
          <w:i/>
        </w:rPr>
        <w:t xml:space="preserve">CRACR2A</w:t>
      </w:r>
      <w:r>
        <w:t xml:space="preserve">, </w:t>
      </w:r>
      <w:r>
        <w:rPr>
          <w:i/>
        </w:rPr>
        <w:t xml:space="preserve">CRACR2B</w:t>
      </w:r>
      <w:r>
        <w:t xml:space="preserve">, </w:t>
      </w:r>
      <w:r>
        <w:rPr>
          <w:i/>
        </w:rPr>
        <w:t xml:space="preserve">SELENOK</w:t>
      </w:r>
      <w:r>
        <w:t xml:space="preserve">, </w:t>
      </w:r>
      <w:r>
        <w:rPr>
          <w:i/>
        </w:rPr>
        <w:t xml:space="preserve">ATP2A1–3</w:t>
      </w:r>
      <w:r>
        <w:t xml:space="preserve">, </w:t>
      </w:r>
      <w:r>
        <w:rPr>
          <w:i/>
        </w:rPr>
        <w:t xml:space="preserve">MCU</w:t>
      </w:r>
      <w:r>
        <w:t xml:space="preserve">, </w:t>
      </w:r>
      <w:r>
        <w:rPr>
          <w:i/>
        </w:rPr>
        <w:t xml:space="preserve">MCUB</w:t>
      </w:r>
      <w:r>
        <w:t xml:space="preserve">, </w:t>
      </w:r>
      <w:r>
        <w:rPr>
          <w:i/>
        </w:rPr>
        <w:t xml:space="preserve">MICU1</w:t>
      </w:r>
      <w:r>
        <w:t xml:space="preserve"> and </w:t>
      </w:r>
      <w:r>
        <w:rPr>
          <w:i/>
        </w:rPr>
        <w:t xml:space="preserve">MICU2</w:t>
      </w:r>
      <w:r>
        <w:t xml:space="preserve">; the core SOCE/TRP panel is Tier 1. The list combines core STIM–ORAI components with store-refilling, mitochondrial-uptake and voltage-gated-channel-associated genes (for example </w:t>
      </w:r>
      <w:r>
        <w:rPr>
          <w:i/>
        </w:rPr>
        <w:t xml:space="preserve">ATP2A1–3</w:t>
      </w:r>
      <w:r>
        <w:t xml:space="preserve">, </w:t>
      </w:r>
      <w:r>
        <w:rPr>
          <w:i/>
        </w:rPr>
        <w:t xml:space="preserve">MCU</w:t>
      </w:r>
      <w:r>
        <w:t xml:space="preserve"> and </w:t>
      </w:r>
      <w:r>
        <w:rPr>
          <w:i/>
        </w:rPr>
        <w:t xml:space="preserve">CBARP</w:t>
      </w:r>
      <w:r>
        <w:t xml:space="preserve">). </w:t>
      </w:r>
      <w:r>
        <w:rPr>
          <w:i/>
        </w:rPr>
        <w:t xml:space="preserve">CBARP</w:t>
      </w:r>
      <w:r>
        <w:t xml:space="preserve"> was included in this fixed list for the subsequent cross-dataset event ranking. The twelve genes examined event by event in Section 2.3 (</w:t>
      </w:r>
      <w:r>
        <w:rPr>
          <w:i/>
        </w:rPr>
        <w:t xml:space="preserve">STIM1</w:t>
      </w:r>
      <w:r>
        <w:t xml:space="preserve">, </w:t>
      </w:r>
      <w:r>
        <w:rPr>
          <w:i/>
        </w:rPr>
        <w:t xml:space="preserve">STIM2</w:t>
      </w:r>
      <w:r>
        <w:t xml:space="preserve">, </w:t>
      </w:r>
      <w:r>
        <w:rPr>
          <w:i/>
        </w:rPr>
        <w:t xml:space="preserve">STIMATE</w:t>
      </w:r>
      <w:r>
        <w:t xml:space="preserve">, </w:t>
      </w:r>
      <w:r>
        <w:rPr>
          <w:i/>
        </w:rPr>
        <w:t xml:space="preserve">SARAF</w:t>
      </w:r>
      <w:r>
        <w:t xml:space="preserve">, </w:t>
      </w:r>
      <w:r>
        <w:rPr>
          <w:i/>
        </w:rPr>
        <w:t xml:space="preserve">CRACR2A</w:t>
      </w:r>
      <w:r>
        <w:t xml:space="preserve">, </w:t>
      </w:r>
      <w:r>
        <w:rPr>
          <w:i/>
        </w:rPr>
        <w:t xml:space="preserve">CRACR2B</w:t>
      </w:r>
      <w:r>
        <w:t xml:space="preserve">, </w:t>
      </w:r>
      <w:r>
        <w:rPr>
          <w:i/>
        </w:rPr>
        <w:t xml:space="preserve">ORAI1–3</w:t>
      </w:r>
      <w:r>
        <w:t xml:space="preserve">, </w:t>
      </w:r>
      <w:r>
        <w:rPr>
          <w:i/>
        </w:rPr>
        <w:t xml:space="preserve">TRPC1</w:t>
      </w:r>
      <w:r>
        <w:t xml:space="preserve">, </w:t>
      </w:r>
      <w:r>
        <w:rPr>
          <w:i/>
        </w:rPr>
        <w:t xml:space="preserve">ATP2A2</w:t>
      </w:r>
      <w:r>
        <w:t xml:space="preserve"> and </w:t>
      </w:r>
      <w:r>
        <w:rPr>
          <w:i/>
        </w:rPr>
        <w:t xml:space="preserve">ATP2A3</w:t>
      </w:r>
      <w:r>
        <w:t xml:space="preserve">) are a subset of these nineteen and are called the core SOCE-pathway genes.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 </w:t>
      </w:r>
      <w:r>
        <w:rPr>
          <w:i/>
        </w:rPr>
        <w:t xml:space="preserve">CHGA</w:t>
      </w:r>
      <w:r>
        <w:t xml:space="preserve"> 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Ca²⁺-entry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rPr>
          <w:i w:val="0"/>
        </w:rP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1,640 samples with metadata after filtering)","plainCitation":"(GSE153960; Prudencio et al., 2020; 1,640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1,640 samples with metadata after filtering"}],"schema":"https://github.com/citation-style-language/schema/raw/master/csl-citation.json"} </w:instrText>
      </w:r>
      <w:r>
        <w:fldChar w:fldCharType="separate"/>
      </w:r>
      <w:r>
        <w:rPr>
          <w:i w:val="0"/>
        </w:rPr>
        <w:t>(GSE153960; Prudencio et al., 2020; 1,640 samples with metadata after filtering)</w:t>
      </w:r>
      <w:r>
        <w:fldChar w:fldCharType="end"/>
      </w:r>
      <w:r>
        <w:rPr>
          <w:i w:val="0"/>
        </w:rPr>
        <w:t xml:space="preserve">. Within each region and comparison, genes were retained if counts per million (CPM) exceeded 1 in at least max(10, floor[0.20 × number of samples]) samples. CPM was then recalculated on retained genes and transformed as log2(CPM + 1), followed by per-sample median centring. Comparisons used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rPr>
          <w:i w:val="0"/>
        </w:rPr>
        <w:t>(Cliff, 1993)</w:t>
      </w:r>
      <w:r>
        <w:fldChar w:fldCharType="end"/>
      </w:r>
      <w:r>
        <w:rPr>
          <w:i w:val="0"/>
        </w:rPr>
        <w:t xml:space="preserve">. Ten regions were analysed at the expression level: seven brain regions (cerebellum; frontal, occipital and temporal cortex; lateral and medial motor cortex; hippocampus) and three spinal cord levels (cervical, thoracic, lumbar). The junction-level analysis of Section 3.8 covers eleven regions, adding motor cortex of unspecified subdivision. Within the same cohort, the</w:t>
      </w:r>
      <w:r>
        <w:rPr>
          <w:i w:val="0"/>
        </w:rPr>
        <w:t xml:space="preserve"> </w:t>
      </w:r>
      <w:r>
        <w:rPr>
          <w:i w:val="0"/>
        </w:rPr>
        <w:t>“Other Neurological Disorders”</w:t>
      </w:r>
      <w:r>
        <w:rPr>
          <w:i w:val="0"/>
        </w:rPr>
        <w:t xml:space="preserve"> </w:t>
      </w:r>
      <w:r>
        <w:rPr>
          <w:i w:val="0"/>
        </w:rPr>
        <w:t>group was compared against the</w:t>
      </w:r>
      <w:r>
        <w:rPr>
          <w:i w:val="0"/>
        </w:rPr>
        <w:t xml:space="preserve"> </w:t>
      </w:r>
      <w:r>
        <w:rPr>
          <w:b/>
          <w:bCs/>
          <w:i w:val="0"/>
        </w:rPr>
        <w:t>same</w:t>
      </w:r>
      <w:r>
        <w:rPr>
          <w:i w:val="0"/>
        </w:rPr>
        <w:t xml:space="preserve"> </w:t>
      </w:r>
      <w:r>
        <w:rPr>
          <w:i w:val="0"/>
        </w:rPr>
        <w:t>non-neurological controls as ALS, so that control-side confounders (RNA quality, post-mortem interval, collection site, library batch) are shared between the two comparisons; case numbers allowed this comparison in three regions. Groups were used as single labels: 266 samples annotated with both ALS Spectrum MND and Other Neurological Disorders, and two annotated with Pre-fALS and Other Neurological Disorders, were assigned to neither group.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rPr>
          <w:i w:val="0"/>
        </w:rPr>
        <w:t xml:space="preserve">The comparison cohorts were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rPr>
          <w:i w:val="0"/>
        </w:rPr>
        <w:t>(GSE125583, fusiform gyrus, 219 cases/70 controls; Srinivasan et al., 2020)</w:t>
      </w:r>
      <w:r>
        <w:fldChar w:fldCharType="end"/>
      </w:r>
      <w:r>
        <w:rPr>
          <w:i w:val="0"/>
        </w:rP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rPr>
          <w:i w:val="0"/>
        </w:rPr>
        <w:t>(GSE68719, prefrontal cortex, Brodmann area 9 [BA9], 29/44; Dumitriu et al., 2016)</w:t>
      </w:r>
      <w:r>
        <w:fldChar w:fldCharType="end"/>
      </w:r>
      <w:r>
        <w:rPr>
          <w:i w:val="0"/>
        </w:rP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rPr>
          <w:i w:val="0"/>
        </w:rPr>
        <w:t>(MS; GSE138614, white matter, 10 MS/5 control donors, 98 samples; Elkjaer et al., 2019; and GSE123496, five brain regions, 5/5 donors; Voskuhl et al., 2019)</w:t>
      </w:r>
      <w:r>
        <w:fldChar w:fldCharType="end"/>
      </w:r>
      <w:r>
        <w:rPr>
          <w:i w:val="0"/>
        </w:rPr>
        <w:t xml:space="preserve">. Alzheimer’s disease used the NYGC filtering and normalisation procedure. For Parkinson’s disease, the supplied gene-expression matrix was filtered at values &gt; 1 in at least floor(0.20 × number of samples) samples, transformed as log2(value + 1) and median-centred. The multiple-sclerosis expression analyses used CPM &gt; 0.40 in at least max(3, floor[0.20 × number of samples]) samples, followed by log2(CPM + 1) and median centring; the GSE138614 marker-adjustment analysis required CPM &gt; 0.40 in at least 20 samples. GSE138614 is white matter, whereas the ALS, Alzheimer’s and Parkinson’s comparisons are predominantly grey matter; the tissue compartment therefore differs and is not controlled for. For multiple sclerosis, </w:t>
      </w:r>
      <w:r>
        <w:rPr>
          <w:i/>
        </w:rPr>
        <w:t>TRPC1</w:t>
      </w:r>
      <w:r>
        <w:rPr>
          <w:i w:val="0"/>
        </w:rPr>
        <w:t xml:space="preserve">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i w:val="0"/>
        </w:rPr>
        <w:t xml:space="preserve">, so a fall in </w:t>
      </w:r>
      <w:r>
        <w:rPr>
          <w:i/>
        </w:rPr>
        <w:t>TRPC1</w:t>
      </w:r>
      <w:r>
        <w:rPr>
          <w:i w:val="0"/>
        </w:rPr>
        <w:t xml:space="preserve"> could reflect loss of oligodendrocyte-lineage cells; two additional controls were therefore applied: analysis restricted to normal-appearing white matter, with accompanying myelin-marker measurements, and regression of </w:t>
      </w:r>
      <w:r>
        <w:rPr>
          <w:i/>
        </w:rPr>
        <w:t>TRPC1</w:t>
      </w:r>
      <w:r>
        <w:rPr>
          <w:i w:val="0"/>
        </w:rPr>
        <w:t xml:space="preserve"> on </w:t>
      </w:r>
      <w:r>
        <w:rPr>
          <w:i/>
        </w:rPr>
        <w:t>MBP</w:t>
      </w:r>
      <w:r>
        <w:rPr>
          <w:i w:val="0"/>
        </w:rPr>
        <w:t xml:space="preserve">, </w:t>
      </w:r>
      <w:r>
        <w:rPr>
          <w:i/>
        </w:rPr>
        <w:t>PLP1</w:t>
      </w:r>
      <w:r>
        <w:rPr>
          <w:i w:val="0"/>
        </w:rPr>
        <w:t xml:space="preserve"> and </w:t>
      </w:r>
      <w:r>
        <w:rPr>
          <w:i/>
        </w:rPr>
        <w:t>GFAP</w:t>
      </w:r>
      <w:r>
        <w:rPr>
          <w:i w:val="0"/>
        </w:rPr>
        <w:t xml:space="preserve">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rPr>
          <w:i w:val="0"/>
        </w:rPr>
        <w:t>Cell-composition markers (</w:t>
      </w:r>
      <w:r>
        <w:rPr>
          <w:i/>
        </w:rPr>
        <w:t>GFAP</w:t>
      </w:r>
      <w:r>
        <w:rPr>
          <w:i w:val="0"/>
        </w:rPr>
        <w:t xml:space="preserve">, </w:t>
      </w:r>
      <w:r>
        <w:rPr>
          <w:i/>
          <w:i w:val="0"/>
        </w:rPr>
        <w:t xml:space="preserve">AIF1</w:t>
      </w:r>
      <w:r>
        <w:rPr>
          <w:i w:val="0"/>
        </w:rPr>
        <w:t xml:space="preserve">, </w:t>
      </w:r>
      <w:r>
        <w:rPr>
          <w:i/>
        </w:rPr>
        <w:t>SNAP25</w:t>
      </w:r>
      <w:r>
        <w:rPr>
          <w:i w:val="0"/>
        </w:rPr>
        <w:t xml:space="preserve">, </w:t>
      </w:r>
      <w:r>
        <w:rPr>
          <w:i/>
        </w:rPr>
        <w:t>RBFOX3</w:t>
      </w:r>
      <w:r>
        <w:rPr>
          <w:i w:val="0"/>
        </w:rPr>
        <w:t xml:space="preserve">, </w:t>
      </w:r>
      <w:r>
        <w:rPr>
          <w:i/>
        </w:rPr>
        <w:t>MBP</w:t>
      </w:r>
      <w:r>
        <w:rPr>
          <w:i w:val="0"/>
        </w:rPr>
        <w:t xml:space="preserve">, </w:t>
      </w:r>
      <w:r>
        <w:rPr>
          <w:i/>
        </w:rPr>
        <w:t>PLP1</w:t>
      </w:r>
      <w:r>
        <w:rPr>
          <w:i w:val="0"/>
        </w:rPr>
        <w:t xml:space="preserve">) were carried through all comparisons. To ask whether the </w:t>
      </w:r>
      <w:r>
        <w:rPr>
          <w:i/>
        </w:rPr>
        <w:t>TRPC1</w:t>
      </w:r>
      <w:r>
        <w:rPr>
          <w:i w:val="0"/>
        </w:rPr>
        <w:t xml:space="preserve"> differences reflected cell composition, </w:t>
      </w:r>
      <w:r>
        <w:rPr>
          <w:i/>
        </w:rPr>
        <w:t>TRPC1</w:t>
      </w:r>
      <w:r>
        <w:rPr>
          <w:i w:val="0"/>
        </w:rPr>
        <w:t xml:space="preserve"> was regressed within each region on a neuronal marker (</w:t>
      </w:r>
      <w:r>
        <w:rPr>
          <w:i/>
        </w:rPr>
        <w:t>SNAP25</w:t>
      </w:r>
      <w:r>
        <w:rPr>
          <w:i w:val="0"/>
        </w:rPr>
        <w:t xml:space="preserve"> or </w:t>
      </w:r>
      <w:r>
        <w:rPr>
          <w:i/>
        </w:rPr>
        <w:t>RBFOX3</w:t>
      </w:r>
      <w:r>
        <w:rPr>
          <w:i w:val="0"/>
        </w:rPr>
        <w:t xml:space="preserve">), alone or together with </w:t>
      </w:r>
      <w:r>
        <w:rPr>
          <w:i/>
        </w:rPr>
        <w:t>GFAP</w:t>
      </w:r>
      <w:r>
        <w:rPr>
          <w:i w:val="0"/>
        </w:rPr>
        <w:t>, by ordinary least squares with an intercept across all samples of the comparison, as for multiple sclerosis; the residuals were compared with the Mann–Whitney U test and Cliff’s δ, with Benjamini–Hochberg correction across regions within each group and model. A donor-level sensitivity analysis averaged normalised expression within donor and region before fitting the marker models or testing group differences. Its correction families were regions within each group, gene and adjustment model; these differ from Table 5’s within-region gene families (Supplementary Table S18d).</w:t>
      </w:r>
    </w:p>
    <w:p>
      <w:pPr>
        <w:pStyle w:val="BodyText"/>
        <w:jc w:val="both"/>
      </w:pPr>
      <w:r>
        <w:rPr>
          <w:i w:val="0"/>
        </w:rPr>
        <w:t>Junction-level quantification of the truncated</w:t>
      </w:r>
      <w:r>
        <w:rPr>
          <w:i w:val="0"/>
        </w:rPr>
        <w:t xml:space="preserve"> </w:t>
      </w:r>
      <w:r>
        <w:rPr>
          <w:i/>
          <w:iCs/>
        </w:rPr>
        <w:t>STMN2</w:t>
      </w:r>
      <w:r>
        <w:rPr>
          <w:i w:val="0"/>
        </w:rPr>
        <w:t xml:space="preserve"> </w:t>
      </w:r>
      <w:r>
        <w:rPr>
          <w:i w:val="0"/>
        </w:rP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rPr>
          <w:i w:val="0"/>
        </w:rPr>
        <w:t>(Wilks et al., 2021)</w:t>
      </w:r>
      <w:r>
        <w:fldChar w:fldCharType="end"/>
      </w:r>
      <w:r>
        <w:rPr>
          <w:i w:val="0"/>
        </w:rP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 The same indicator was computed for the comparison group, on the samples of the expression comparison that reached the read threshold; where a sample had been sequenced as more than one library, the reads were pooled so that each sample counts once. Within that group, associations with cryptic PSI were tested by Spearman correlation and, to assess sensitivity to a neuronal-content marker, by partial Spearman correlation on </w:t>
      </w:r>
      <w:r>
        <w:rPr>
          <w:i/>
        </w:rPr>
        <w:t>SNAP25</w:t>
      </w:r>
      <w:r>
        <w:rPr>
          <w:i w:val="0"/>
        </w:rPr>
        <w:t>.</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w:t>
      </w:r>
      <w:r>
        <w:rPr>
          <w:i/>
        </w:rPr>
        <w:t xml:space="preserve">TARDBP</w:t>
      </w:r>
      <w:r>
        <w:t xml:space="preserve">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w:t>
      </w:r>
      <w:r>
        <w:rPr>
          <w:i/>
        </w:rPr>
        <w:t xml:space="preserve">TARDBP</w:t>
      </w:r>
      <w:r>
        <w:t xml:space="preserve">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rPr>
          <w:i w:val="0"/>
        </w:rP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w:t>
      </w:r>
      <w:r>
        <w:rPr>
          <w:i/>
        </w:rPr>
        <w:t>GAPDH</w:t>
      </w:r>
      <w:r>
        <w:rPr>
          <w:i w:val="0"/>
        </w:rPr>
        <w:t xml:space="preserve"> were run on the same plate with no-template and no-reverse-transcriptase controls, and specificity was checked from a single melt-curve peak. Relative expression was calculated by the 2</w:t>
      </w:r>
      <w:r>
        <w:rPr>
          <w:i w:val="0"/>
          <w:vertAlign w:val="superscript"/>
        </w:rPr>
        <w:t>−ΔΔCt</w:t>
      </w:r>
      <w:r>
        <w:rPr>
          <w:i w:val="0"/>
        </w:rPr>
        <w:t xml:space="preserve"> </w:t>
      </w:r>
      <w:r>
        <w:rPr>
          <w:i w:val="0"/>
        </w:rP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rPr>
          <w:i w:val="0"/>
        </w:rPr>
        <w:t>(Livak and Schmittgen, 2001)</w:t>
      </w:r>
      <w:r>
        <w:fldChar w:fldCharType="end"/>
      </w:r>
      <w:r>
        <w:rPr>
          <w:i w:val="0"/>
        </w:rPr>
        <w:t xml:space="preserve">, with non-transduced cells as the calibrator for </w:t>
      </w:r>
      <w:r>
        <w:rPr>
          <w:i/>
        </w:rPr>
        <w:t>TARDBP</w:t>
      </w:r>
      <w:r>
        <w:rPr>
          <w:i w:val="0"/>
        </w:rPr>
        <w:t xml:space="preserve"> and the non-targeting shRNA control for the target genes (four biological replicates per group). </w:t>
      </w:r>
      <w:r>
        <w:rPr>
          <w:i/>
        </w:rPr>
        <w:t>TARDBP</w:t>
      </w:r>
      <w:r>
        <w:rPr>
          <w:i w:val="0"/>
        </w:rPr>
        <w:t xml:space="preserve"> and the target genes were measured on separate RNA sets; recorded assay dates were 14 April – 21 May 2026 and 3 June – 10 July 2026, respectively. Primer sequences, product sizes, annealing temperatures and the thermal cycling profile are given in Supplementary Table S1.</w:t>
      </w:r>
    </w:p>
    <w:p>
      <w:pPr>
        <w:pStyle w:val="BodyText"/>
        <w:jc w:val="both"/>
      </w:pPr>
      <w:r>
        <w:rPr>
          <w:i/>
        </w:rPr>
        <w:t>GAPDH</w:t>
      </w:r>
      <w:r>
        <w:rPr>
          <w:i w:val="0"/>
        </w:rPr>
        <w:t xml:space="preserve"> was used as the sole reference gene because its mean Ct was similar in the four-target RNA set: 19.49 in non-targeting shRNA controls and 19.50 in shTDP-43 cells (n = 4 each). Amplification efficiencies were not determined for the individual assays, and the 2^(−ΔΔCt) calculation therefore assumes near-equal efficiencies. Lower </w:t>
      </w:r>
      <w:r>
        <w:rPr>
          <w:i/>
        </w:rPr>
        <w:t>TARDBP</w:t>
      </w:r>
      <w:r>
        <w:rPr>
          <w:i w:val="0"/>
        </w:rPr>
        <w:t xml:space="preserve"> mRNA was observed in the RNA set assayed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rPr>
          <w:i w:val="0"/>
        </w:rPr>
        <w:t xml:space="preserve">Non-targeting shRNA control and shTDP-43 cells were prepared for measurement 72 h after transduction, while puromycin selection was still in progress; the RNA protocol of Section 2.13 used day-5 cultures after selection was complete. The available records do not establish sample-level pairing between the RNA sets and Fura-2 measurements. Both groups were seeded at the same density, 40,000 cells per well, onto disinfected glass coverslips in 24-well plates one day before the measurement, and three samples per group came from separate wells of the same culture plate and were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rPr>
          <w:i w:val="0"/>
        </w:rPr>
        <w:t>(excitation 340 and 380 nm, emission 510 nm; Grynkiewicz et al., 1985)</w:t>
      </w:r>
      <w:r>
        <w:fldChar w:fldCharType="end"/>
      </w:r>
      <w:r>
        <w:rPr>
          <w:i w:val="0"/>
        </w:rP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rPr>
          <w:i w:val="0"/>
        </w:rPr>
        <w:t>(2009)</w:t>
      </w:r>
      <w:r>
        <w:fldChar w:fldCharType="end"/>
      </w:r>
      <w:r>
        <w:rPr>
          <w:i w:val="0"/>
        </w:rP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wells on the same plate (n = 3 technical replicates), and both phases were read from the same recording of each well. No independent Fura-2 culture experiment is available for this comparison.</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rPr>
          <w:i w:val="0"/>
        </w:rPr>
        <w:t xml:space="preserve">Bioinformatic thresholds and correction families are specified above. RT-qPCR used four biological replicates per group, with separate RNA sets for </w:t>
      </w:r>
      <w:r>
        <w:rPr>
          <w:i/>
          <w:i w:val="0"/>
        </w:rPr>
        <w:t xml:space="preserve">TARDBP</w:t>
      </w:r>
      <w:r>
        <w:rPr>
          <w:i w:val="0"/>
        </w:rPr>
        <w:t xml:space="preserve"> and the target genes. Two-sided Welch tests on ΔCt were Holm-adjusted across the four targets and, separately, the two </w:t>
      </w:r>
      <w:r>
        <w:rPr>
          <w:i/>
          <w:i w:val="0"/>
        </w:rPr>
        <w:t xml:space="preserve">TARDBP</w:t>
      </w:r>
      <w:r>
        <w:rPr>
          <w:i w:val="0"/>
        </w:rPr>
        <w:t xml:space="preserve"> knockdown-versus-control comparisons; adjusted p &lt; 0.05 was significant. Plots show relative-expression means and SEM across biological replicates. Fura-2 comprised three wells per group on one plate; WST-1 comprised four wells from one of three experiments, with the other two experiments unavailable. Fura-2 and WST-1 means, well-to-well SEM and differences are descriptive, without inferential tests or estimates of between-experiment variability. The Fura-2 readdition-to-release ratio is summarised per well.</w:t>
      </w:r>
      <w:r>
        <w:rPr>
          <w:i/>
        </w:rPr>
        <w:t/>
      </w:r>
      <w:r>
        <w:rPr>
          <w:i w:val="0"/>
        </w:rPr>
        <w:t xml:space="preserve"/>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SOCE-associated mRNAs are higher, and the Ca²⁺-readdition amplitude is lower in one Fura-2 plate, after TDP-43 knockdown</w:t>
      </w:r>
    </w:p>
    <w:p>
      <w:pPr>
        <w:pStyle w:val="FirstParagraph"/>
        <w:jc w:val="both"/>
      </w:pPr>
      <w:r>
        <w:rPr>
          <w:i w:val="0"/>
        </w:rPr>
        <w:t xml:space="preserve">Mean </w:t>
      </w:r>
      <w:r>
        <w:rPr>
          <w:i/>
          <w:i w:val="0"/>
        </w:rPr>
        <w:t xml:space="preserve">TARDBP</w:t>
      </w:r>
      <w:r>
        <w:rPr>
          <w:i w:val="0"/>
        </w:rPr>
        <w:t xml:space="preserve"> mRNA was 94.4% lower in shTDP-43 cells than in non-targeting shRNA controls and 94.8% lower than in non-transduced controls (four biological replicates per group; Holm-adjusted p = 8.3 × 10⁻¹¹ and 3.2 × 10⁻¹⁰, respectively; Figure 1A).</w:t>
      </w:r>
      <w:r>
        <w:rPr>
          <w:i/>
        </w:rPr>
        <w:t/>
      </w:r>
      <w:r>
        <w:rPr>
          <w:i w:val="0"/>
        </w:rPr>
        <w:t xml:space="preserve"/>
      </w:r>
    </w:p>
    <w:p>
      <w:pPr>
        <w:pStyle w:val="BodyText"/>
        <w:jc w:val="both"/>
      </w:pPr>
      <w:r>
        <w:rPr>
          <w:i w:val="0"/>
        </w:rPr>
        <w:t xml:space="preserve">Relative to the non-targeting shRNA controls, mean measurements of four SOCE-associated mRNAs were higher: </w:t>
      </w:r>
      <w:r>
        <w:rPr>
          <w:i/>
        </w:rPr>
        <w:t>TRPC1</w:t>
      </w:r>
      <w:r>
        <w:rPr>
          <w:i w:val="0"/>
        </w:rPr>
        <w:t xml:space="preserve"> ≈ 1.8-fold, </w:t>
      </w:r>
      <w:r>
        <w:rPr>
          <w:i/>
        </w:rPr>
        <w:t>STIM1</w:t>
      </w:r>
      <w:r>
        <w:rPr>
          <w:i w:val="0"/>
        </w:rPr>
        <w:t xml:space="preserve"> ≈ 1.9-fold, </w:t>
      </w:r>
      <w:r>
        <w:rPr>
          <w:i/>
        </w:rPr>
        <w:t>ORAI1</w:t>
      </w:r>
      <w:r>
        <w:rPr>
          <w:i w:val="0"/>
        </w:rPr>
        <w:t xml:space="preserve"> ≈ 1.7-fold and </w:t>
      </w:r>
      <w:r>
        <w:rPr>
          <w:i/>
        </w:rPr>
        <w:t>ATP2A3</w:t>
      </w:r>
      <w:r>
        <w:rPr>
          <w:i w:val="0"/>
        </w:rPr>
        <w:t>/SERCA3 ≈ 3.2-fold (four biological replicates per group; Figure 1B). All four increases were significant in ΔCt tests after Holm correction (adjusted p = 0.0040, 0.0040, 0.0026 and 6.8 × 10⁻⁵, respectively).</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rPr>
          <w:i w:val="0"/>
        </w:rPr>
        <w:t xml:space="preserve"> All four directions matched the RNA-seq results in the same cell line (</w:t>
      </w:r>
      <w:r>
        <w:rPr>
          <w:i/>
          <w:iCs/>
        </w:rPr>
        <w:t>STIM1</w:t>
      </w:r>
      <w:r>
        <w:rPr>
          <w:i w:val="0"/>
        </w:rPr>
        <w:t xml:space="preserve"> </w:t>
      </w:r>
      <w:r>
        <w:rPr>
          <w:i w:val="0"/>
        </w:rPr>
        <w:t>log2FC = 0.929, p_adj = 4.3 × 10⁻⁴⁷;</w:t>
      </w:r>
      <w:r>
        <w:rPr>
          <w:i w:val="0"/>
        </w:rPr>
        <w:t xml:space="preserve"> </w:t>
      </w:r>
      <w:r>
        <w:rPr>
          <w:i/>
          <w:iCs/>
        </w:rPr>
        <w:t>TRPC1</w:t>
      </w:r>
      <w:r>
        <w:rPr>
          <w:i w:val="0"/>
        </w:rPr>
        <w:t xml:space="preserve"> </w:t>
      </w:r>
      <w:r>
        <w:rPr>
          <w:i w:val="0"/>
        </w:rPr>
        <w:t>0.958, 1.3 × 10⁻¹²;</w:t>
      </w:r>
      <w:r>
        <w:rPr>
          <w:i w:val="0"/>
        </w:rPr>
        <w:t xml:space="preserve"> </w:t>
      </w:r>
      <w:r>
        <w:rPr>
          <w:i/>
          <w:iCs/>
        </w:rPr>
        <w:t>ORAI1</w:t>
      </w:r>
      <w:r>
        <w:rPr>
          <w:i w:val="0"/>
        </w:rPr>
        <w:t xml:space="preserve"> </w:t>
      </w:r>
      <w:r>
        <w:rPr>
          <w:i w:val="0"/>
        </w:rPr>
        <w:t>0.433, 2.4 × 10⁻⁴;</w:t>
      </w:r>
      <w:r>
        <w:rPr>
          <w:i w:val="0"/>
        </w:rPr>
        <w:t xml:space="preserve"> </w:t>
      </w:r>
      <w:r>
        <w:rPr>
          <w:i/>
          <w:iCs/>
        </w:rPr>
        <w:t>ATP2A3</w:t>
      </w:r>
      <w:r>
        <w:rPr>
          <w:i w:val="0"/>
        </w:rPr>
        <w:t xml:space="preserve"> </w:t>
      </w:r>
      <w:r>
        <w:rPr>
          <w:i w:val="0"/>
        </w:rPr>
        <w:t>1.306, 1.4 × 10⁻²⁹).</w:t>
      </w:r>
    </w:p>
    <w:p>
      <w:pPr>
        <w:keepNext/>
        <w:pageBreakBefore/>
        <w:spacing w:before="0" w:after="140"/>
        <w:jc w:val="center"/>
      </w:pPr>
      <w:r>
        <w:drawing>
          <wp:inline>
            <wp:extent cx="5532120" cy="2335784"/>
            <wp:docPr id="1" name="Picture 1" descr="Bar charts with individual points: TARDBP mRNA in three groups, four target mRNAs in shTDP-43 versus non-targeting control cells, and the WST-1 signal at 48 h."/>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35784"/>
                    </a:xfrm>
                    <a:prstGeom prst="rect"/>
                  </pic:spPr>
                </pic:pic>
              </a:graphicData>
            </a:graphic>
          </wp:inline>
        </w:drawing>
      </w:r>
    </w:p>
    <w:p>
      <w:pPr>
        <w:pStyle w:val="Caption"/>
        <w:keepLines/>
        <w:spacing w:line="269" w:lineRule="auto" w:after="200"/>
        <w:jc w:val="both"/>
      </w:pPr>
      <w:r>
        <w:rPr>
          <w:b/>
          <w:rFonts w:ascii="Times New Roman" w:hAnsi="Times New Roman"/>
          <w:sz w:val="19"/>
        </w:rPr>
        <w:t xml:space="preserve">Figure 1.</w:t>
      </w:r>
      <w:r>
        <w:rPr>
          <w:rFonts w:ascii="Times New Roman" w:hAnsi="Times New Roman"/>
          <w:sz w:val="19"/>
        </w:rPr>
        <w:t xml:space="preserve"> Laboratory measurements in SH-SY5Y cells. (A) </w:t>
      </w:r>
      <w:r>
        <w:rPr>
          <w:i/>
          <w:rFonts w:ascii="Times New Roman" w:hAnsi="Times New Roman"/>
          <w:sz w:val="19"/>
        </w:rPr>
        <w:t xml:space="preserve">TARDBP</w:t>
      </w:r>
      <w:r>
        <w:rPr>
          <w:rFonts w:ascii="Times New Roman" w:hAnsi="Times New Roman"/>
          <w:sz w:val="19"/>
        </w:rPr>
        <w:t xml:space="preserve"> mRNA in untransduced, non-targeting shRNA and shTDP-43 samples. (B) Relative </w:t>
      </w:r>
      <w:r>
        <w:rPr>
          <w:i/>
          <w:rFonts w:ascii="Times New Roman" w:hAnsi="Times New Roman"/>
          <w:sz w:val="19"/>
        </w:rPr>
        <w:t xml:space="preserve">TRPC1</w:t>
      </w:r>
      <w:r>
        <w:rPr>
          <w:rFonts w:ascii="Times New Roman" w:hAnsi="Times New Roman"/>
          <w:sz w:val="19"/>
        </w:rPr>
        <w:t xml:space="preserve">, </w:t>
      </w:r>
      <w:r>
        <w:rPr>
          <w:i/>
          <w:rFonts w:ascii="Times New Roman" w:hAnsi="Times New Roman"/>
          <w:sz w:val="19"/>
        </w:rPr>
        <w:t xml:space="preserve">STIM1</w:t>
      </w:r>
      <w:r>
        <w:rPr>
          <w:rFonts w:ascii="Times New Roman" w:hAnsi="Times New Roman"/>
          <w:sz w:val="19"/>
        </w:rPr>
        <w:t xml:space="preserve">, </w:t>
      </w:r>
      <w:r>
        <w:rPr>
          <w:i/>
          <w:rFonts w:ascii="Times New Roman" w:hAnsi="Times New Roman"/>
          <w:sz w:val="19"/>
        </w:rPr>
        <w:t xml:space="preserve">ORAI1</w:t>
      </w:r>
      <w:r>
        <w:rPr>
          <w:rFonts w:ascii="Times New Roman" w:hAnsi="Times New Roman"/>
          <w:sz w:val="19"/>
        </w:rPr>
        <w:t xml:space="preserve"> and </w:t>
      </w:r>
      <w:r>
        <w:rPr>
          <w:i/>
          <w:rFonts w:ascii="Times New Roman" w:hAnsi="Times New Roman"/>
          <w:sz w:val="19"/>
        </w:rPr>
        <w:t xml:space="preserve">ATP2A3</w:t>
      </w:r>
      <w:r>
        <w:rPr>
          <w:rFonts w:ascii="Times New Roman" w:hAnsi="Times New Roman"/>
          <w:sz w:val="19"/>
        </w:rPr>
        <w:t xml:space="preserve"> mRNA. RT-qPCR groups comprise four biological replicates; panels A and B use separate RNA sets. (C) WST-1 signal at 48 h, four wells from one experiment (descriptive). Bars are means with SEM across biological replicates (A, B) or wells (C); dots are individual measurements. RT-qPCR: two-sided Welch tests on ΔCt with Holm correction (Methods 2.16); adjusted p: </w:t>
      </w:r>
      <w:r>
        <w:rPr>
          <w:i/>
          <w:rFonts w:ascii="Times New Roman" w:hAnsi="Times New Roman"/>
          <w:sz w:val="19"/>
        </w:rPr>
        <w:t xml:space="preserve">TARDBP</w:t>
      </w:r>
      <w:r>
        <w:rPr>
          <w:rFonts w:ascii="Times New Roman" w:hAnsi="Times New Roman"/>
          <w:sz w:val="19"/>
        </w:rPr>
        <w:t xml:space="preserve">, 8.3 × 10⁻¹¹ versus non-targeting shRNA and 3.2 × 10⁻¹⁰ versus untransduced cells; </w:t>
      </w:r>
      <w:r>
        <w:rPr>
          <w:i/>
          <w:rFonts w:ascii="Times New Roman" w:hAnsi="Times New Roman"/>
          <w:sz w:val="19"/>
        </w:rPr>
        <w:t xml:space="preserve">TRPC1</w:t>
      </w:r>
      <w:r>
        <w:rPr>
          <w:rFonts w:ascii="Times New Roman" w:hAnsi="Times New Roman"/>
          <w:sz w:val="19"/>
        </w:rPr>
        <w:t xml:space="preserve">, 0.0040; </w:t>
      </w:r>
      <w:r>
        <w:rPr>
          <w:i/>
          <w:rFonts w:ascii="Times New Roman" w:hAnsi="Times New Roman"/>
          <w:sz w:val="19"/>
        </w:rPr>
        <w:t xml:space="preserve">STIM1</w:t>
      </w:r>
      <w:r>
        <w:rPr>
          <w:rFonts w:ascii="Times New Roman" w:hAnsi="Times New Roman"/>
          <w:sz w:val="19"/>
        </w:rPr>
        <w:t xml:space="preserve">, 0.0040; </w:t>
      </w:r>
      <w:r>
        <w:rPr>
          <w:i/>
          <w:rFonts w:ascii="Times New Roman" w:hAnsi="Times New Roman"/>
          <w:sz w:val="19"/>
        </w:rPr>
        <w:t xml:space="preserve">ORAI1</w:t>
      </w:r>
      <w:r>
        <w:rPr>
          <w:rFonts w:ascii="Times New Roman" w:hAnsi="Times New Roman"/>
          <w:sz w:val="19"/>
        </w:rPr>
        <w:t xml:space="preserve">, 0.0026; </w:t>
      </w:r>
      <w:r>
        <w:rPr>
          <w:i/>
          <w:rFonts w:ascii="Times New Roman" w:hAnsi="Times New Roman"/>
          <w:sz w:val="19"/>
        </w:rPr>
        <w:t xml:space="preserve">ATP2A3</w:t>
      </w:r>
      <w:r>
        <w:rPr>
          <w:rFonts w:ascii="Times New Roman" w:hAnsi="Times New Roman"/>
          <w:sz w:val="19"/>
        </w:rPr>
        <w:t xml:space="preserve">, 6.8 × 10⁻⁵.</w:t>
      </w:r>
    </w:p>
    <w:p>
      <w:pPr>
        <w:pStyle w:val="BodyText"/>
        <w:jc w:val="both"/>
      </w:pPr>
      <w:r>
        <w:rPr>
          <w:i w:val="0"/>
        </w:rPr>
        <w:t xml:space="preserve">In the single Fura-2 plate, the Ca²⁺-readdition amplitude was markedly lower in shTDP-43 wells (Figure 2). The readdition amplitude was 1.542 ± 0.282 in control wells and 0.245 ± 0.083 Δ(F340/F380) in knockdown wells (mean ± well-to-well SEM, three wells per group on one plate; difference −1.30, or 84% of the control mean). The observed ranges were 1.013–1.975 and 0.080–0.338, respectively. ER Ca²⁺ release was 0.268 ± 0.042 and 0.180 ± 0.061 (difference −0.088, or 33% of the control mean). Because both phases came from the same recording, readdition was also expressed relative to each well’s own release. This ratio was 5.88 ± 1.10 in controls and 1.36 ± 0.01 after knockdown, 77% lower; every knockdown well had a lower ratio than every control well (Supplementary Table S1). The ratio describes the within-plate pattern but does not isolate store depletion, influx or clearance, and cannot establish replication across independent cultures. Plotted on common axes, the two representative recordings had similar baselines before readdition (Figure 2A). At 48 h, the WST-1 signal was 61.5 ± 0.8% of control, a 38.5% decrease (n = 4 wells; descriptive; Figure 1C).</w:t>
      </w:r>
    </w:p>
    <w:p>
      <w:pPr>
        <w:pStyle w:val="BodyText"/>
        <w:jc w:val="both"/>
      </w:pPr>
      <w:r>
        <w:t xml:space="preserve">The RT-qPCR mRNA measurements and the one-plate Fura-2 response therefore differed in direction; because they come from different cultures and time points (Methods 2.13 and 2.14), they are not paired and do not show opposing changes within the same cells.</w:t>
      </w:r>
    </w:p>
    <w:p>
      <w:pPr>
        <w:keepNext/>
        <w:pageBreakBefore/>
        <w:spacing w:before="0" w:after="140"/>
        <w:jc w:val="center"/>
      </w:pPr>
      <w:r>
        <w:drawing>
          <wp:inline>
            <wp:extent cx="5532120" cy="5074920"/>
            <wp:docPr id="2" name="Picture 2" descr="Panel A: two representative Fura-2 recordings on common axes, with a large readdition peak in the control well and a small one in the shTDP-43 well. Panels B to D: ER release, readdition amplitude and readdition-to-release ratio for three wells per group."/>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74920"/>
                    </a:xfrm>
                    <a:prstGeom prst="rect"/>
                  </pic:spPr>
                </pic:pic>
              </a:graphicData>
            </a:graphic>
          </wp:inline>
        </w:drawing>
      </w:r>
    </w:p>
    <w:p>
      <w:pPr>
        <w:pStyle w:val="Caption"/>
        <w:keepLines/>
        <w:spacing w:line="269" w:lineRule="auto" w:after="200"/>
        <w:jc w:val="both"/>
      </w:pPr>
      <w:r>
        <w:rPr>
          <w:b/>
          <w:rFonts w:ascii="Times New Roman" w:hAnsi="Times New Roman"/>
          <w:sz w:val="19"/>
        </w:rPr>
        <w:t xml:space="preserve">Figure 2.</w:t>
      </w:r>
      <w:r>
        <w:rPr>
          <w:rFonts w:ascii="Times New Roman" w:hAnsi="Times New Roman"/>
          <w:sz w:val="19"/>
        </w:rPr>
        <w:t xml:space="preserve"> Fura-2 measurements in SH-SY5Y cells after TDP-43 knockdown (one culture plate). (A) One representative recording per group on common axes, aligned to the steepest point of the Ca²⁺-readdition rise (dashed line); no value is smoothed or rescaled. The original recordings, with the CPA and CaCl₂ additions, are shown at their own axis ranges in Supplementary Figure S9. (B) ER Ca²⁺ release after CPA (10 µM), (C) Ca²⁺-readdition amplitude after CaCl₂ (nominally 1.5 mM) and (D) the readdition-to-release ratio of each well. Bars are means ± well-to-well SEM and dots are the three wells per group; both phases of a well come from one recording. The comparisons are descriptive and no inferential test is shown.</w:t>
      </w:r>
    </w:p>
    <w:bookmarkEnd w:id="28"/>
    <w:bookmarkStart w:id="29" w:name="X65edd16614ad8b45159fdba0c7ef67d7861dbd8"/>
    <w:p>
      <w:pPr>
        <w:pStyle w:val="Heading3"/>
        <w:rPr>
          <w:b w:val="1"/>
        </w:rPr>
        <w:jc w:val="left"/>
      </w:pPr>
      <w:r>
        <w:rPr>
          <w:b w:val="1"/>
        </w:rPr>
        <w:t xml:space="preserve">3.2 Transcript-family composition in the public SH-SY5Y RNA-seq model</w:t>
      </w:r>
    </w:p>
    <w:p>
      <w:pPr>
        <w:pStyle w:val="FirstParagraph"/>
        <w:jc w:val="both"/>
      </w:pPr>
      <w:r>
        <w:t xml:space="preserve">The public SH-SY5Y RNA-seq comparison, which is separate from our cultures, provides transcript-level context for the laboratory measurements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 xml:space="preserve">ORAI2</w:t>
      </w:r>
      <w:r>
        <w:rPr/>
        <w:t xml:space="preserve"> and </w:t>
      </w:r>
      <w:r>
        <w:rPr>
          <w:i/>
        </w:rPr>
        <w:t xml:space="preserve">ATP2A2</w:t>
      </w:r>
      <w:r>
        <w:rPr/>
        <w:t xml:space="preserve"> are the dominant members of their families (77% and 98% of the family total), whereas </w:t>
      </w:r>
      <w:r>
        <w:rPr>
          <w:i/>
        </w:rPr>
        <w:t xml:space="preserve">ORAI1</w:t>
      </w:r>
      <w:r>
        <w:rPr/>
        <w:t xml:space="preserve"> and </w:t>
      </w:r>
      <w:r>
        <w:rPr>
          <w:i/>
        </w:rPr>
        <w:t xml:space="preserve">ATP2A3</w:t>
      </w:r>
      <w:r>
        <w:rPr/>
        <w:t xml:space="preserve"> are minor members (15% and 1.5%); </w:t>
      </w:r>
      <w:r>
        <w:rPr>
          <w:i/>
        </w:rPr>
        <w:t xml:space="preserve">STIM1</w:t>
      </w:r>
      <w:r>
        <w:rPr/>
        <w:t xml:space="preserve"> and </w:t>
      </w:r>
      <w:r>
        <w:rPr>
          <w:i/>
        </w:rPr>
        <w:t xml:space="preserve">TRPC1</w:t>
      </w:r>
      <w:r>
        <w:rPr/>
        <w:t xml:space="preserve"> dominate their families (64% and 98%), and </w:t>
      </w:r>
      <w:r>
        <w:rPr>
          <w:i/>
        </w:rPr>
        <w:t xml:space="preserve">SARAF</w:t>
      </w:r>
      <w:r>
        <w:rPr/>
        <w:t xml:space="preserve"> accounts for 82% of the Ca²⁺-entry-regulator pool. In knockdown the dominant </w:t>
      </w:r>
      <w:r>
        <w:rPr>
          <w:i/>
        </w:rPr>
        <w:t xml:space="preserve">ORAI2</w:t>
      </w:r>
      <w:r>
        <w:rPr/>
        <w:t xml:space="preserve"> and </w:t>
      </w:r>
      <w:r>
        <w:rPr>
          <w:i/>
        </w:rPr>
        <w:t xml:space="preserve">ATP2A2</w:t>
      </w:r>
      <w:r>
        <w:rPr/>
        <w:t xml:space="preserve"> transcripts fell modestly (DESeq2 log2FC −0.17 and −0.25; p_adj = 2.2 × 10⁻³ and 8.7 × 10⁻⁹), while </w:t>
      </w:r>
      <w:r>
        <w:rPr>
          <w:i/>
        </w:rPr>
        <w:t xml:space="preserve">ORAI1</w:t>
      </w:r>
      <w:r>
        <w:rPr/>
        <w:t xml:space="preserve">, </w:t>
      </w:r>
      <w:r>
        <w:rPr>
          <w:i/>
        </w:rPr>
        <w:t xml:space="preserve">ATP2A3</w:t>
      </w:r>
      <w:r>
        <w:rPr/>
        <w:t xml:space="preserve">, </w:t>
      </w:r>
      <w:r>
        <w:rPr>
          <w:i/>
        </w:rPr>
        <w:t xml:space="preserve">STIM1</w:t>
      </w:r>
      <w:r>
        <w:rPr/>
        <w:t xml:space="preserve">, </w:t>
      </w:r>
      <w:r>
        <w:rPr>
          <w:i/>
        </w:rPr>
        <w:t xml:space="preserve">TRPC1</w:t>
      </w:r>
      <w:r>
        <w:rPr/>
        <w:t xml:space="preserve"> and </w:t>
      </w:r>
      <w:r>
        <w:rPr>
          <w:i/>
        </w:rPr>
        <w:t xml:space="preserve">SARAF</w:t>
      </w:r>
      <w:r>
        <w:rPr/>
        <w:t xml:space="preserve"> rose and </w:t>
      </w:r>
      <w:r>
        <w:rPr>
          <w:i/>
        </w:rPr>
        <w:t xml:space="preserve">ORAI3</w:t>
      </w:r>
      <w:r>
        <w:rPr/>
        <w:t xml:space="preserve"> rose about fivefold in adjusted TPM (DESeq2 log2FC 2.06; p_adj = 2.3 × 10⁻⁶⁴). At family level the ORAI pool therefore grew (+27%) and changed in composition: </w:t>
      </w:r>
      <w:r>
        <w:rPr>
          <w:i/>
        </w:rPr>
        <w:t xml:space="preserve">ORAI3</w:t>
      </w:r>
      <w:r>
        <w:rPr/>
        <w:t xml:space="preserve"> went from 8% to 30% of ORAI transcripts and </w:t>
      </w:r>
      <w:r>
        <w:rPr>
          <w:i/>
        </w:rPr>
        <w:t xml:space="preserve">ORAI2</w:t>
      </w:r>
      <w:r>
        <w:rPr/>
        <w:t xml:space="preserve"> from 77% to 53%. The STIM (+48%) and Ca²⁺-entry-regulator (+30%) pools also rose, whereas the SERCA and mitochondrial-uptake pools fell (−12% and −25%), the latter mainly through </w:t>
      </w:r>
      <w:r>
        <w:rPr>
          <w:i/>
        </w:rPr>
        <w:t xml:space="preserve">MCU</w:t>
      </w:r>
      <w:r>
        <w:rPr/>
        <w:t xml:space="preserve">, </w:t>
      </w:r>
      <w:r>
        <w:rPr>
          <w:i/>
        </w:rPr>
        <w:t xml:space="preserve">MICU2</w:t>
      </w:r>
      <w:r>
        <w:rPr/>
        <w:t xml:space="preserve"> and </w:t>
      </w:r>
      <w:r>
        <w:rPr>
          <w:i/>
        </w:rPr>
        <w:t xml:space="preserve">MCUB</w:t>
      </w:r>
      <w:r>
        <w:rPr/>
        <w:t xml:space="preserve">.</w:t>
      </w:r>
    </w:p>
    <w:p>
      <w:pPr>
        <w:pStyle w:val="BodyText"/>
        <w:jc w:val="both"/>
      </w:pPr>
      <w:r>
        <w:t xml:space="preserve">For </w:t>
      </w:r>
      <w:r>
        <w:rPr>
          <w:i/>
        </w:rPr>
        <w:t xml:space="preserve">STIMATE</w:t>
      </w:r>
      <w:r>
        <w:t xml:space="preserve"> and </w:t>
      </w:r>
      <w:r>
        <w:rPr>
          <w:i/>
        </w:rPr>
        <w:t xml:space="preserve">MCUR1</w:t>
      </w:r>
      <w:r>
        <w:t xml:space="preserve">, adjusted TPM and the DESeq2 estimate differ in sign (+9.9% versus log2FC −0.050, p_adj = 0.72; −7.8% versus +0.044, p_adj = 0.62). Both changes are small, reflect different estimators and do not support a directional abundance effect.</w:t>
      </w:r>
    </w:p>
    <w:p>
      <w:pPr>
        <w:pStyle w:val="BodyText"/>
        <w:jc w:val="both"/>
      </w:pPr>
      <w:r>
        <w:t xml:space="preserve">Adjustment for two surrogate variables estimated with svaseq (Methods 2.2) kept the direction of all 850 genes that met both differential-expression thresholds in the two models but reduced the number meeting them from 1,694 to 1,067. </w:t>
      </w:r>
      <w:r>
        <w:rPr>
          <w:i/>
        </w:rPr>
        <w:t xml:space="preserve">STIM1</w:t>
      </w:r>
      <w:r>
        <w:t xml:space="preserve">, </w:t>
      </w:r>
      <w:r>
        <w:rPr>
          <w:i/>
        </w:rPr>
        <w:t xml:space="preserve">TRPC1</w:t>
      </w:r>
      <w:r>
        <w:t xml:space="preserve">, </w:t>
      </w:r>
      <w:r>
        <w:rPr>
          <w:i/>
        </w:rPr>
        <w:t xml:space="preserve">ORAI3</w:t>
      </w:r>
      <w:r>
        <w:t xml:space="preserve">, </w:t>
      </w:r>
      <w:r>
        <w:rPr>
          <w:i/>
        </w:rPr>
        <w:t xml:space="preserve">SARAF</w:t>
      </w:r>
      <w:r>
        <w:t xml:space="preserve"> and </w:t>
      </w:r>
      <w:r>
        <w:rPr>
          <w:i/>
        </w:rPr>
        <w:t xml:space="preserve">CBARP</w:t>
      </w:r>
      <w:r>
        <w:t xml:space="preserve"> retained q &lt; 0.05; </w:t>
      </w:r>
      <w:r>
        <w:rPr>
          <w:i/>
        </w:rPr>
        <w:t xml:space="preserve">ORAI1</w:t>
      </w:r>
      <w:r>
        <w:t xml:space="preserve">, </w:t>
      </w:r>
      <w:r>
        <w:rPr>
          <w:i/>
        </w:rPr>
        <w:t xml:space="preserve">ATP2A3</w:t>
      </w:r>
      <w:r>
        <w:t xml:space="preserve">, </w:t>
      </w:r>
      <w:r>
        <w:rPr>
          <w:i/>
        </w:rPr>
        <w:t xml:space="preserve">ATP2A2</w:t>
      </w:r>
      <w:r>
        <w:t xml:space="preserve"> and </w:t>
      </w:r>
      <w:r>
        <w:rPr>
          <w:i/>
        </w:rPr>
        <w:t xml:space="preserve">STIM2</w:t>
      </w:r>
      <w:r>
        <w:t xml:space="preserve"> did not, so the RNA-seq support for the </w:t>
      </w:r>
      <w:r>
        <w:rPr>
          <w:i/>
        </w:rPr>
        <w:t xml:space="preserve">ORAI1</w:t>
      </w:r>
      <w:r>
        <w:t xml:space="preserve"> and </w:t>
      </w:r>
      <w:r>
        <w:rPr>
          <w:i/>
        </w:rPr>
        <w:t xml:space="preserve">ATP2A3</w:t>
      </w:r>
      <w:r>
        <w:t xml:space="preserve"> increases is model dependent, whereas the RT-qPCR measurements of Section 3.1 support their direction (Supplementary Results 5).</w:t>
      </w:r>
    </w:p>
    <w:p>
      <w:pPr>
        <w:pStyle w:val="BodyText"/>
        <w:jc w:val="both"/>
      </w:pPr>
      <w:r>
        <w:t xml:space="preserve">Higher </w:t>
      </w:r>
      <w:r>
        <w:rPr>
          <w:i/>
        </w:rPr>
        <w:t xml:space="preserve">ORAI3</w:t>
      </w:r>
      <w:r>
        <w:t xml:space="preserve"> and </w:t>
      </w:r>
      <w:r>
        <w:rPr>
          <w:i/>
        </w:rPr>
        <w:t xml:space="preserve">SARAF</w:t>
      </w:r>
      <w:r>
        <w:t xml:space="preserve"> transcripts are candidate routes to reduced entry, whereas lower </w:t>
      </w:r>
      <w:r>
        <w:rPr>
          <w:i/>
        </w:rPr>
        <w:t xml:space="preserve">ORAI2</w:t>
      </w:r>
      <w:r>
        <w:t xml:space="preserve"> would on the same evidence favour entry: </w:t>
      </w:r>
      <w:r>
        <w:t xml:space="preserve">ORAI2</w:t>
      </w:r>
      <w:r>
        <w:t xml:space="preserve"> and </w:t>
      </w:r>
      <w:r>
        <w:t xml:space="preserve">ORAI3</w:t>
      </w:r>
      <w:r>
        <w:t xml:space="preserve"> form heteromers with </w:t>
      </w:r>
      <w:r>
        <w:t xml:space="preserve">ORAI1</w:t>
      </w:r>
      <w:r>
        <w:t xml:space="preserve"> and restrain SOCE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w:t>
      </w:r>
      <w:r>
        <w:t xml:space="preserve">SARAF</w:t>
      </w:r>
      <w:r>
        <w:t xml:space="preserve"> facilitates slow Ca²⁺-dependent inactivation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The mitochondrial-uptake transcripts also changed, but </w:t>
      </w:r>
      <w:r>
        <w:rPr>
          <w:i/>
        </w:rPr>
        <w:t xml:space="preserve">MCU</w:t>
      </w:r>
      <w:r>
        <w:t xml:space="preserve">, </w:t>
      </w:r>
      <w:r>
        <w:rPr>
          <w:i/>
        </w:rPr>
        <w:t xml:space="preserve">MCUB</w:t>
      </w:r>
      <w:r>
        <w:t xml:space="preserve"> and MICU proteins have distinct,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and neither summed transcript changes nor the </w:t>
      </w:r>
      <w:r>
        <w:rPr>
          <w:i/>
        </w:rPr>
        <w:t xml:space="preserve">STIM1</w:t>
      </w:r>
      <w:r>
        <w:t xml:space="preserve">:</w:t>
      </w:r>
      <w:r>
        <w:rPr>
          <w:i/>
        </w:rPr>
        <w:t xml:space="preserve">ORAI1</w:t>
      </w:r>
      <w:r>
        <w:t xml:space="preserve"> RNA ratio measure protein composition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These changes provide hypotheses for the lower Ca²⁺-readdition signal observed in one laboratory plate, not an explanation of it.</w:t>
      </w:r>
    </w:p>
    <w:p>
      <w:pPr>
        <w:keepNext/>
        <w:pageBreakBefore/>
        <w:spacing w:before="0" w:after="140"/>
        <w:jc w:val="center"/>
      </w:pPr>
      <w:r>
        <w:drawing>
          <wp:inline>
            <wp:extent cx="5532120" cy="4519197"/>
            <wp:docPr id="3" name="Picture 3" descr="Dot plots of adjusted transcript abundance and DESeq2 log2 fold changes for calcium-regulatory genes in control and TDP-43-depleted SH-SY5Y libraries."/>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b/>
          <w:rFonts w:ascii="Times New Roman" w:hAnsi="Times New Roman"/>
          <w:sz w:val="19"/>
        </w:rPr>
        <w:t xml:space="preserve">Figure 3.</w:t>
      </w:r>
      <w:r>
        <w:rPr>
          <w:rFonts w:ascii="Times New Roman" w:hAnsi="Times New Roman"/>
          <w:sz w:val="19"/>
        </w:rPr>
        <w:t xml:space="preserve"> Calcium-regulatory transcript profile in the public SH-SY5Y RNA-seq comparison (RNA level only). (A) Adjusted gene-level TPM in control and TDP-43-depleted libraries (three per group), on a logarithmic scale; lines link the two group estimates of a gene. (B) DESeq2 gene-level log2 fold changes; filled markers indicate Benjamini–Hochberg q &lt; 0.05 (adjusted p values in Table 1). Bold labels mark the four RT-qPCR targets. These libraries are distinct from the cultures of Figures 1 and 2. TPM and fold changes describe transcript abundance, not protein or function, and can differ in sign when a change is small (Section 3.2).</w:t>
      </w:r>
    </w:p>
    <w:bookmarkEnd w:id="29"/>
    <w:bookmarkStart w:id="30" w:name="Xc9e627d5dae3c5724b10d52d1a5f65dbe457452"/>
    <w:p>
      <w:pPr>
        <w:pStyle w:val="Heading3"/>
        <w:rPr>
          <w:b w:val="1"/>
        </w:rPr>
        <w:jc w:val="left"/>
      </w:pPr>
      <w:r>
        <w:rPr>
          <w:b w:val="1"/>
        </w:rPr>
        <w:t xml:space="preserve">3.3 TDP-43 depletion alters splicing across Ca²⁺ homeostasis genes, but many individual events rest on limited read support</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returned fewer calls on the same libraries. It tested 31,474 events in 5,345 genes and returned no event meeting the shared FDR and |ΔPSI| ≥ 0.10 thresholds. Among 9,369 skipped-exon events matched by coordinates, the tools agreed weakly on ΔPSI (Spearman ρ = 0.319; 62.4% directional concordance). SUPPA2 uses between-replicate ΔPSI variation to construct its null. The limited agreement indicates method sensitivity; this comparison does not identify which method is better calibrated.</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An example simulation (Methods 2.3; Supplementary Figure S1) illustrates the consequence. For a 3 + 3 design with replicate PSI varying with a standard deviation of 0.05 around 0.5, 10 informative reads per sample, close to the lower quartile of the nominally significant events (9.7 reads per sample; median 21.3), gave a power of 0.08 to detect a true ΔPSI of 0.10 at nominal p &lt; 0.05, and 100 reads per sample gave 0.28. A power of 0.80 was not reached at 10 or 20 reads per sample for any simulated ΔPSI up to 0.30, and at 50 and 100 reads per sample it required a ΔPSI between 0.20 and 0.30. Nominally significant events at low coverage are therefore expected to be inflated in effect size, and individual events at the |ΔPSI| ≥ 0.10 threshold should not be interpreted without read-level support. The simulation is not an estimate of rMATS power.</w:t>
      </w:r>
    </w:p>
    <w:p>
      <w:pPr>
        <w:pStyle w:val="BodyText"/>
        <w:jc w:val="both"/>
      </w:pPr>
      <w:r>
        <w:t xml:space="preserve">As an example of why read-level verification matters, a </w:t>
      </w:r>
      <w:r>
        <w:rPr>
          <w:i/>
        </w:rPr>
        <w:t xml:space="preserve">TRPC1</w:t>
      </w:r>
      <w:r>
        <w:t xml:space="preserve"> skipped-exon event (chr3:142,792,824–142,792,967; ΔPSI = +0.108, FDR = 0.0459) passed the conventional thresholds but rested on seven skipping reads across six libraries, with the skipping form absent in four of six samples. Its bootstrap 95% confidence interval spanned zero (−0.093 to +0.522), removing one control replicate reversed the sign of ΔPSI (−0.074), the event did not survive coverage pre-filtering, and LeafCutter did not call it. We therefore do not report it as a finding (Supplementary Figure S2).</w:t>
      </w:r>
    </w:p>
    <w:bookmarkEnd w:id="30"/>
    <w:bookmarkStart w:id="31" w:name="Xb2e2e7a2a7dc639b8c1e62605640dbbb797e835"/>
    <w:p>
      <w:pPr>
        <w:pStyle w:val="Heading3"/>
        <w:rPr>
          <w:b w:val="1"/>
        </w:rPr>
        <w:jc w:val="left"/>
      </w:pPr>
      <w:r>
        <w:rPr>
          <w:b w:val="1"/>
        </w:rPr>
        <w:t xml:space="preserve">3.4 Splicing changes in core SOCE-pathway genes that pass the robustness checks</w:t>
      </w:r>
    </w:p>
    <w:p>
      <w:pPr>
        <w:pStyle w:val="FirstParagraph"/>
        <w:jc w:val="both"/>
      </w:pPr>
      <w:r>
        <w:t xml:space="preserve">Applying the robustness criteria to the twelve core SOCE-pathway genes examined event by event (Methods 2.3) identified three events with adequate coverage and bootstrap intervals excluding zero: </w:t>
      </w:r>
      <w:r>
        <w:rPr>
          <w:i/>
        </w:rPr>
        <w:t xml:space="preserve">STIMATE</w:t>
      </w:r>
      <w:r>
        <w:t xml:space="preserve">, </w:t>
      </w:r>
      <w:r>
        <w:rPr>
          <w:i/>
        </w:rPr>
        <w:t xml:space="preserve">ORAI3</w:t>
      </w:r>
      <w:r>
        <w:t xml:space="preserve"> and </w:t>
      </w:r>
      <w:r>
        <w:rPr>
          <w:i/>
        </w:rPr>
        <w:t xml:space="preserve">STIM2</w:t>
      </w:r>
      <w:r>
        <w:t xml:space="preserve"> (Table 3; Figure 4A). The </w:t>
      </w:r>
      <w:r>
        <w:rPr>
          <w:i/>
        </w:rPr>
        <w:t xml:space="preserve">STIM2</w:t>
      </w:r>
      <w:r>
        <w:t xml:space="preserve"> event is a 119-bp exon and is distinct from the 24-nucleotide </w:t>
      </w:r>
      <w:r>
        <w:rPr>
          <w:i/>
        </w:rPr>
        <w:t xml:space="preserve">STIM2</w:t>
      </w:r>
      <w:r>
        <w:t xml:space="preserve">.1 exon analysed in Section 3.5 (Figure 4B).</w:t>
      </w:r>
    </w:p>
    <w:p>
      <w:pPr>
        <w:pStyle w:val="BodyText"/>
        <w:jc w:val="both"/>
      </w:pPr>
      <w:r>
        <w:rPr/>
        <w:t xml:space="preserve">In the primary SH-SY5Y model these were </w:t>
      </w:r>
      <w:r>
        <w:rPr>
          <w:i/>
        </w:rPr>
        <w:t xml:space="preserve">STIMATE</w:t>
      </w:r>
      <w:r>
        <w:rPr/>
        <w:t xml:space="preserve"> (ΔPSI = +0.244; FDR = 9.0 × 10⁻⁷; 95% CI +0.095 to +0.368), </w:t>
      </w:r>
      <w:r>
        <w:rPr>
          <w:i/>
        </w:rPr>
        <w:t xml:space="preserve">ORAI3</w:t>
      </w:r>
      <w:r>
        <w:rPr/>
        <w:t xml:space="preserve"> (−0.269; 1.0 × 10⁻²; −0.404 to −0.107) and </w:t>
      </w:r>
      <w:r>
        <w:rPr>
          <w:i/>
        </w:rPr>
        <w:t xml:space="preserve">STIM2</w:t>
      </w:r>
      <w:r>
        <w:rPr/>
        <w:t xml:space="preserve"> (−0.120; &lt; 1 × 10⁻¹⁶; −0.165 to −0.064). A </w:t>
      </w:r>
      <w:r>
        <w:rPr>
          <w:i/>
        </w:rPr>
        <w:t xml:space="preserve">STIM1</w:t>
      </w:r>
      <w:r>
        <w:rPr/>
        <w:t xml:space="preserve"> event (chr11:4,088,702–4,088,738; 37 bp, frame-disrupting) reached ΔPSI = +0.145 (FDR = 4.0 × 10⁻⁴) with a confidence interval marginally including zero, and was positive in all three human datasets.</w:t>
      </w:r>
    </w:p>
    <w:p>
      <w:pPr>
        <w:pStyle w:val="BodyText"/>
        <w:jc w:val="both"/>
      </w:pPr>
      <w:r>
        <w:rPr/>
        <w:t xml:space="preserve">Two separate isoform-level analyses addressed </w:t>
      </w:r>
      <w:r>
        <w:rPr>
          <w:i/>
        </w:rPr>
        <w:t xml:space="preserve">STIM1</w:t>
      </w:r>
      <w:r>
        <w:rPr/>
        <w:t xml:space="preserve"> and are not a single confirmation chain. In the DRIMSeq–stageR analysis, </w:t>
      </w:r>
      <w:r>
        <w:rPr>
          <w:i/>
        </w:rPr>
        <w:t xml:space="preserve">STIM1</w:t>
      </w:r>
      <w:r>
        <w:rPr/>
        <w:t xml:space="preserve"> passed the gene-level screening stage (q = 5.49 × 10⁻⁷), but none of seven evaluable transcripts passed stageR confirmation (all confirmation-stage adjusted p values = 1.0); two further transcripts had missing DRIMSeq p values and could not be evaluated. In the separate IsoformSwitchAnalyzeR/DEXSeq analysis, the two isoforms with significant usage changes were not predicted to carry a premature termination codon (PTC), whereas the two predicted PTC isoforms did not change (q = 0.33 and 0.77). No confirmed PTC-associated isoform switch was therefore identified; transcript identifiers and test eligibility are given in Supplementary Results 6.</w:t>
      </w:r>
    </w:p>
    <w:p>
      <w:pPr>
        <w:pStyle w:val="BodyText"/>
        <w:jc w:val="both"/>
      </w:pPr>
      <w:r>
        <w:rPr>
          <w:i/>
        </w:rPr>
        <w:t xml:space="preserve">CBARP</w:t>
      </w:r>
      <w:r>
        <w:rP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rPr/>
        <w:t xml:space="preserve">,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 </w:t>
      </w:r>
      <w:r>
        <w:rPr>
          <w:i/>
        </w:rPr>
        <w:t xml:space="preserve">CBARP</w:t>
      </w:r>
      <w:r>
        <w:rPr/>
        <w:t xml:space="preserve"> also showed the largest expression change of any Ca²⁺-entry regulator of Table 1 in SH-SY5Y (log2FC = −1.254; p_adj = 3.1 × 10⁻²⁵).</w:t>
      </w:r>
    </w:p>
    <w:p>
      <w:pPr>
        <w:pStyle w:val="BodyText"/>
        <w:jc w:val="both"/>
      </w:pPr>
      <w:r>
        <w:t xml:space="preserve">LeafCutter, which does not use the reference annotation to define events, also called </w:t>
      </w:r>
      <w:r>
        <w:rPr>
          <w:i/>
        </w:rPr>
        <w:t xml:space="preserve">CBARP</w:t>
      </w:r>
      <w:r>
        <w:t xml:space="preserve"> (p_adj = 0.0133) and </w:t>
      </w:r>
      <w:r>
        <w:rPr>
          <w:i/>
        </w:rPr>
        <w:t xml:space="preserve">STIM2</w:t>
      </w:r>
      <w:r>
        <w:t xml:space="preserve"> (p_adj = 0.0288) in the same SH-SY5Y libraries. The coverage-filtered rMATS analysis, the bootstrap interval estimates and LeafCutter, all applied to the same libraries, therefore point to the same candidates; this is agreement between analysis methods, not independent replication.</w:t>
      </w:r>
    </w:p>
    <w:p>
      <w:pPr>
        <w:keepNext/>
      </w:pPr>
      <w:r>
        <w:drawing>
          <wp:inline>
            <wp:extent cx="5623560" cy="4237471"/>
            <wp:docPr id="7" name="Picture 7" descr="Panel A: per-library PSI of four skipped-exon events with a schematic of PSI. Panel B: forest plot of the 24-nucleotide STIM2 exon in six datasets. Panel C: CBARP exon 4 junction usage in SH-SY5Y and iPSC colonies."/>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4237471"/>
                    </a:xfrm>
                    <a:prstGeom prst="rect"/>
                  </pic:spPr>
                </pic:pic>
              </a:graphicData>
            </a:graphic>
          </wp:inline>
        </w:drawing>
      </w:r>
    </w:p>
    <w:p>
      <w:pPr>
        <w:pStyle w:val="Caption"/>
      </w:pPr>
      <w:r>
        <w:rPr>
          <w:b/>
          <w:rFonts w:ascii="Times New Roman" w:hAnsi="Times New Roman"/>
          <w:sz w:val="19"/>
        </w:rPr>
        <w:t xml:space="preserve">Figure 4.</w:t>
      </w:r>
      <w:r>
        <w:rPr>
          <w:rFonts w:ascii="Times New Roman" w:hAnsi="Times New Roman"/>
          <w:sz w:val="19"/>
        </w:rPr>
        <w:t xml:space="preserve"> Splicing evidence in SOCE-related genes. (A) Per-library PSI for the four skipped-exon events of Table 3 (public SH-SY5Y comparison, three libraries per group); each title gives the exon length, lines show group means, and the text gives the rMATS ΔPSI with its replicate-level bootstrap 95% interval. The </w:t>
      </w:r>
      <w:r>
        <w:rPr>
          <w:i/>
          <w:rFonts w:ascii="Times New Roman" w:hAnsi="Times New Roman"/>
          <w:sz w:val="19"/>
        </w:rPr>
        <w:t xml:space="preserve">STIM1</w:t>
      </w:r>
      <w:r>
        <w:rPr>
          <w:rFonts w:ascii="Times New Roman" w:hAnsi="Times New Roman"/>
          <w:sz w:val="19"/>
        </w:rPr>
        <w:t xml:space="preserve"> interval includes zero. PSI is the share of inclusion-junction reads among inclusion and skipping reads (schematic). (B) A different </w:t>
      </w:r>
      <w:r>
        <w:rPr>
          <w:i/>
          <w:rFonts w:ascii="Times New Roman" w:hAnsi="Times New Roman"/>
          <w:sz w:val="19"/>
        </w:rPr>
        <w:t xml:space="preserve">STIM2</w:t>
      </w:r>
      <w:r>
        <w:rPr>
          <w:rFonts w:ascii="Times New Roman" w:hAnsi="Times New Roman"/>
          <w:sz w:val="19"/>
        </w:rPr>
        <w:t xml:space="preserve"> exon: the 24-nucleotide SOAR exon that converts </w:t>
      </w:r>
      <w:r>
        <w:rPr>
          <w:i/>
          <w:rFonts w:ascii="Times New Roman" w:hAnsi="Times New Roman"/>
          <w:sz w:val="19"/>
        </w:rPr>
        <w:t xml:space="preserve">STIM2</w:t>
      </w:r>
      <w:r>
        <w:rPr>
          <w:rFonts w:ascii="Times New Roman" w:hAnsi="Times New Roman"/>
          <w:sz w:val="19"/>
        </w:rPr>
        <w:t xml:space="preserve"> into </w:t>
      </w:r>
      <w:r>
        <w:rPr>
          <w:i/>
          <w:rFonts w:ascii="Times New Roman" w:hAnsi="Times New Roman"/>
          <w:sz w:val="19"/>
        </w:rPr>
        <w:t xml:space="preserve">STIM2</w:t>
      </w:r>
      <w:r>
        <w:rPr>
          <w:rFonts w:ascii="Times New Roman" w:hAnsi="Times New Roman"/>
          <w:sz w:val="19"/>
        </w:rPr>
        <w:t xml:space="preserve">.1, as an rMATS event in six datasets; squares are sized by inverse-variance weight, bars are 95% intervals and diamonds are fixed-effect pooled estimates for all six and for the three human datasets (Supplementary Table S15). (C) </w:t>
      </w:r>
      <w:r>
        <w:rPr>
          <w:i/>
          <w:rFonts w:ascii="Times New Roman" w:hAnsi="Times New Roman"/>
          <w:sz w:val="19"/>
        </w:rPr>
        <w:t xml:space="preserve">CBARP</w:t>
      </w:r>
      <w:r>
        <w:rPr>
          <w:rFonts w:ascii="Times New Roman" w:hAnsi="Times New Roman"/>
          <w:sz w:val="19"/>
        </w:rPr>
        <w:t xml:space="preserve">: share of exon-4 donor reads joined to the alternative 3′ splice site at chr19:1,235,342 rather than to exon 5, per library (Methods 2.5; the full locus is in Supplementary Figure S3).</w:t>
      </w:r>
    </w:p>
    <w:bookmarkEnd w:id="31"/>
    <w:bookmarkStart w:id="32" w:name="X82f7279699e5de22b979458987a108be8a28cb2"/>
    <w:p>
      <w:pPr>
        <w:pStyle w:val="Heading3"/>
        <w:rPr>
          <w:b w:val="1"/>
        </w:rPr>
        <w:jc w:val="left"/>
      </w:pPr>
      <w:r>
        <w:rPr>
          <w:b w:val="1"/>
        </w:rPr>
        <w:t xml:space="preserve">3.5 Annotation-free junction analysis recovers known cryptic exons but finds no stringent-filter unannotated change in the core SOCE-pathway genes of the primary model</w:t>
      </w:r>
    </w:p>
    <w:p>
      <w:pPr>
        <w:pStyle w:val="FirstParagraph"/>
        <w:jc w:val="both"/>
      </w:pPr>
      <w:r>
        <w:rP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junction set produced with a different extractor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stringent-filter unannotated splicing candidates in 87 genes were called (Supplementary Table S5). Twelve of the sixteen literature positive controls (Supplementary Table S6) were among them: </w:t>
      </w:r>
      <w:r>
        <w:rPr>
          <w:i/>
        </w:rPr>
        <w:t xml:space="preserve">STMN2</w:t>
      </w:r>
      <w:r>
        <w:t xml:space="preserve"> (chr8:79,611,215–79,616,821; PSI 0.985 in knockdown versus 0.028 in control, ΔPSI +0.957, q = 2.0 × 10⁻³⁰⁴, 10,926 versus 176 reads), </w:t>
      </w:r>
      <w:r>
        <w:rPr>
          <w:i/>
        </w:rPr>
        <w:t xml:space="preserve">UNC13A</w:t>
      </w:r>
      <w:r>
        <w:t xml:space="preserve">, </w:t>
      </w:r>
      <w:r>
        <w:rPr>
          <w:i/>
        </w:rPr>
        <w:t xml:space="preserve">ACTL6B</w:t>
      </w:r>
      <w:r>
        <w:t xml:space="preserve">, </w:t>
      </w:r>
      <w:r>
        <w:rPr>
          <w:i/>
        </w:rPr>
        <w:t xml:space="preserve">PFKP</w:t>
      </w:r>
      <w:r>
        <w:t xml:space="preserve">, </w:t>
      </w:r>
      <w:r>
        <w:rPr>
          <w:i/>
        </w:rPr>
        <w:t xml:space="preserve">HDGFL2</w:t>
      </w:r>
      <w:r>
        <w:t xml:space="preserve">, </w:t>
      </w:r>
      <w:r>
        <w:rPr>
          <w:i/>
        </w:rPr>
        <w:t xml:space="preserve">AGRN</w:t>
      </w:r>
      <w:r>
        <w:t xml:space="preserve">, </w:t>
      </w:r>
      <w:r>
        <w:rPr>
          <w:i/>
        </w:rPr>
        <w:t xml:space="preserve">ARHGAP32</w:t>
      </w:r>
      <w:r>
        <w:t xml:space="preserve">, </w:t>
      </w:r>
      <w:r>
        <w:rPr>
          <w:i/>
        </w:rPr>
        <w:t xml:space="preserve">ATG4B</w:t>
      </w:r>
      <w:r>
        <w:t xml:space="preserve">, </w:t>
      </w:r>
      <w:r>
        <w:rPr>
          <w:i/>
        </w:rPr>
        <w:t xml:space="preserve">ELAVL3</w:t>
      </w:r>
      <w:r>
        <w:t xml:space="preserve">, </w:t>
      </w:r>
      <w:r>
        <w:rPr>
          <w:i/>
        </w:rPr>
        <w:t xml:space="preserve">SETD5</w:t>
      </w:r>
      <w:r>
        <w:t xml:space="preserve">, </w:t>
      </w:r>
      <w:r>
        <w:rPr>
          <w:i/>
        </w:rPr>
        <w:t xml:space="preserve">RSF1</w:t>
      </w:r>
      <w:r>
        <w:t xml:space="preserve"> and </w:t>
      </w:r>
      <w:r>
        <w:rPr>
          <w:i/>
        </w:rPr>
        <w:t xml:space="preserve">GPSM2</w:t>
      </w:r>
      <w:r>
        <w:t xml:space="preserve">. The acceptor of the </w:t>
      </w:r>
      <w:r>
        <w:rPr>
          <w:i/>
        </w:rPr>
        <w:t xml:space="preserve">STMN2</w:t>
      </w:r>
      <w:r>
        <w:t xml:space="preserve"> cryptic junction falls one base before the published start of the cryptic exon, and both flanking junctions of the </w:t>
      </w:r>
      <w:r>
        <w:rPr>
          <w:i/>
        </w:rPr>
        <w:t xml:space="preserve">UNC13A</w:t>
      </w:r>
      <w:r>
        <w:t xml:space="preserve"> cryptic exon were recovered separately, placing that exon at chr19:17,642,414–17,642,541. On the regtools set the same comparison gave 165 stringent-filter candidates in 113 genes and the same twelve positive controls plus </w:t>
      </w:r>
      <w:r>
        <w:rPr>
          <w:i/>
        </w:rPr>
        <w:t xml:space="preserve">KALRN</w:t>
      </w:r>
      <w:r>
        <w:t xml:space="preserve">; twelve were recovered at 25 ng/mL (Table 4; Supplementary Table S12).</w:t>
      </w:r>
    </w:p>
    <w:p>
      <w:pPr>
        <w:pStyle w:val="BodyText"/>
        <w:jc w:val="both"/>
      </w:pPr>
      <w:r>
        <w:rPr/>
        <w:t xml:space="preserve">Specificity was tested with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 xml:space="preserve">STMN2</w:t>
      </w:r>
      <w:r>
        <w:rPr/>
        <w:t xml:space="preserve"> and </w:t>
      </w:r>
      <w:r>
        <w:rPr>
          <w:i/>
        </w:rPr>
        <w:t xml:space="preserve">KALRN</w:t>
      </w:r>
      <w:r>
        <w:rPr/>
        <w:t xml:space="preserve">); two controls against none is not a significant difference (Fisher’s exact test p = 0.48), and this dataset is too shallow for the stringent-filter threshold to recover a control in any of the three comparisons (18, 26 and 23 events, none of them a control gene). The matched comparison therefore does not establish specificity and remains descriptive. Deeper TDP-43 comparisons recovered thirteen of sixteen positive controls in SH-SY5Y and fifteen in iPSC colonies, supporting sensitivity to known targets in those models.</w:t>
      </w:r>
    </w:p>
    <w:p>
      <w:pPr>
        <w:pStyle w:val="BodyText"/>
        <w:jc w:val="both"/>
      </w:pPr>
      <w:r>
        <w:rPr/>
        <w:t xml:space="preserve">The null test sets the limits of interpretation. Under the permissive rule, the null-to-real call ratios were 0.98 in iPSC colonies and 2.01 in K562 total RNA (Supplementary Table S14). The stringent-filter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sample size and the number of tests differ between the two analyses, but they show that call counts are not interpretable on their own, and that the stringent-filter list is a set of candidates whose sensitivity has been checked against known targets, not a set with established specificity. In the remaining eight comparisons the controls could not be split, and positive-control recovery is the only available check. Across the eleven comparisons the burden of stringent-filter candidates ranged from 12 to 477 events, and of the three datasets with a null, the one with the largest burden also had the largest null in absolute number.</w:t>
      </w:r>
    </w:p>
    <w:p>
      <w:pPr>
        <w:pStyle w:val="BodyText"/>
        <w:jc w:val="both"/>
      </w:pPr>
      <w:r>
        <w:rPr/>
        <w:t xml:space="preserve">Applied to the Ca²⁺ panels, the analysis returned an almost complete negative (Supplementary Table S7), which is informative where the analysis demonstrably worked: in SH-SY5Y at both doses and in K562 poly(A)+ mRNA, where positive controls were recovered at the stringent-filter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only stringent-filter unannotated change anywhere in the nineteen-gene SOCE-associated set was the </w:t>
      </w:r>
      <w:r>
        <w:rPr>
          <w:i/>
        </w:rPr>
        <w:t xml:space="preserve">CBARP</w:t>
      </w:r>
      <w:r>
        <w:rPr/>
        <w:t xml:space="preserve"> junction in iPSC colonies (the core SOCE/TRP panel also carried one in </w:t>
      </w:r>
      <w:r>
        <w:rPr>
          <w:i/>
        </w:rPr>
        <w:t xml:space="preserve">TRPM3</w:t>
      </w:r>
      <w:r>
        <w:rPr/>
        <w:t xml:space="preserve"> in that comparison); </w:t>
      </w:r>
      <w:r>
        <w:rPr>
          <w:i/>
        </w:rPr>
        <w:t xml:space="preserve">STIM1</w:t>
      </w:r>
      <w:r>
        <w:rPr/>
        <w:t xml:space="preserve">, </w:t>
      </w:r>
      <w:r>
        <w:rPr>
          <w:i/>
        </w:rPr>
        <w:t xml:space="preserve">STIM2</w:t>
      </w:r>
      <w:r>
        <w:rPr/>
        <w:t xml:space="preserve">, </w:t>
      </w:r>
      <w:r>
        <w:rPr>
          <w:i/>
        </w:rPr>
        <w:t xml:space="preserve">ORAI1</w:t>
      </w:r>
      <w:r>
        <w:rPr/>
        <w:t xml:space="preserve">–3, </w:t>
      </w:r>
      <w:r>
        <w:rPr>
          <w:i/>
        </w:rPr>
        <w:t xml:space="preserve">TRPC1</w:t>
      </w:r>
      <w:r>
        <w:rPr/>
        <w:t xml:space="preserve">, </w:t>
      </w:r>
      <w:r>
        <w:rPr>
          <w:i/>
        </w:rPr>
        <w:t xml:space="preserve">SARAF</w:t>
      </w:r>
      <w:r>
        <w:rPr/>
        <w:t xml:space="preserve">, </w:t>
      </w:r>
      <w:r>
        <w:rPr>
          <w:i/>
        </w:rPr>
        <w:t xml:space="preserve">STIMATE</w:t>
      </w:r>
      <w:r>
        <w:rPr/>
        <w:t xml:space="preserve"> and the SERCA and mitochondrial-uptake genes carried none in any comparison. That single call comes from the dataset whose null test produced 0.64 calls for every real call, so it is not evidence on its own, although the </w:t>
      </w:r>
      <w:r>
        <w:rPr>
          <w:i/>
        </w:rPr>
        <w:t xml:space="preserve">CBARP</w:t>
      </w:r>
      <w:r>
        <w:rPr/>
        <w:t xml:space="preserve"> junction is corroborated below. This finding does not exclude lower-abundance or context-specific events, but it provides no support for a cryptic-splicing switch as the explanation for the within-plate Fura-2 difference (permissive-tier and annotated-site events: Supplementary Table S7 and Figure S4B).</w:t>
      </w:r>
    </w:p>
    <w:p>
      <w:pPr>
        <w:pStyle w:val="BodyText"/>
        <w:jc w:val="both"/>
      </w:pPr>
      <w:r>
        <w:rPr/>
        <w:t xml:space="preserve">Separately from the genome-wide candidate list, the </w:t>
      </w:r>
      <w:r>
        <w:rPr>
          <w:i/>
        </w:rPr>
        <w:t xml:space="preserve">CBARP</w:t>
      </w:r>
      <w:r>
        <w:rPr/>
        <w:t xml:space="preserve"> junction was evaluated directly at junction level in the two human models. In SH-SY5Y it showed the largest local change of any gene of the nineteen-gene SOCE-associated set, in the junction from exon 4 to the alternative 3′ splice site (ΔPSI +0.74, 95% CI +0.51 to +0.83, q = 2.7 × 10⁻¹²; +0.76, q = 5.6 × 10⁻¹⁷ in the regtools set), and one arm of the event uses a splice site absent from the annotation (Supplementary Figure S3). This is the third analysis of the same libraries, after rMATS with --novelSS and LeafCutter, to identify this locus; isoform-level testing did not detect a </w:t>
      </w:r>
      <w:r>
        <w:rPr>
          <w:i/>
        </w:rPr>
        <w:t xml:space="preserve">CBARP</w:t>
      </w:r>
      <w:r>
        <w:rPr/>
        <w:t xml:space="preserve"> isoform switch (IsoformSwitchAnalyzeR gene-level q = 0.12; DRIMSeq q = 0.34). The same unannotated splice site was also found in the iPSC colonies (ΔPSI +0.33, q = 4.3 × 10⁻¹⁶, 201 versus 137 reads), where it met the cryptic criteria outright. </w:t>
      </w:r>
      <w:r>
        <w:rPr>
          <w:i/>
        </w:rPr>
        <w:t xml:space="preserve">ORAI2</w:t>
      </w:r>
      <w:r>
        <w:rPr/>
        <w:t xml:space="preserve">, the most abundant ORAI-family gene, showed +0.16 (q = 1.9 × 10⁻³) in the mapping-quality-filtered set and +0.15 (q = 0.087) in the unfiltered set, so the two extraction methods provide unequal support.</w:t>
      </w:r>
    </w:p>
    <w:p>
      <w:pPr>
        <w:pStyle w:val="BodyText"/>
        <w:jc w:val="both"/>
      </w:pPr>
      <w:r>
        <w:rPr/>
        <w:t xml:space="preserve">One specific mechanism could be tested directly. Inclusion of a 24-nucleotide exon in the STIM–ORAI activating region (SOAR) converts </w:t>
      </w:r>
      <w:r>
        <w:rPr>
          <w:i/>
        </w:rPr>
        <w:t xml:space="preserve">STIM2</w:t>
      </w:r>
      <w:r>
        <w:rPr/>
        <w:t xml:space="preserve"> into </w:t>
      </w:r>
      <w:r>
        <w:rPr>
          <w:i/>
        </w:rPr>
        <w:t xml:space="preserve">STIM2</w:t>
      </w:r>
      <w:r>
        <w:rPr/>
        <w:t xml:space="preserve">.1 (</w:t>
      </w:r>
      <w:r>
        <w:rPr>
          <w:i/>
        </w:rPr>
        <w:t xml:space="preserve">STIM2</w:t>
      </w:r>
      <w:r>
        <w:rPr/>
        <w:t xml:space="preserve">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t xml:space="preserve">,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The pooled estimate is a fixed-effect summary across species and cell models, not an equivalence test, and it does not exclude an effect in a single model. At junction level, both flanks of the exon (chr4:27,007,983–27,008,006 in humans) were considered: sixteen flanking-junction records were measurable across seven TDP-43 comparisons and the FUS/TAF15 controls, and direction was positive in six TDP-43 comparisons and negative in C2C12 (Supplementary Table S13). The downstream estimate was +0.149 in SH-SY5Y at 75 ng/mL (q = 0.033, 20 versus 3 reads), +0.116 at 25 ng/mL (q = 0.14) and +0.020 in iPSC colonies (q = 0.82; 441 versus 281 reads), and it exceeds the rMATS estimate for the same exon (+0.149 versus +0.059) because rMATS combines both flanks and normalises by effective length. These junction summaries do not alter the separately computed rMATS meta-analysis, which did not detect a shared shift.</w:t>
      </w:r>
    </w:p>
    <w:bookmarkEnd w:id="32"/>
    <w:bookmarkStart w:id="33" w:name="X95f51b20e2575a9f68bf5a1f46ea9d9988a1c39"/>
    <w:bookmarkEnd w:id="33"/>
    <w:bookmarkStart w:id="34" w:name="Xd92f2e170b5d70e8565fd0fd77df5724ed2003e"/>
    <w:p>
      <w:pPr>
        <w:pStyle w:val="Heading3"/>
        <w:rPr>
          <w:b w:val="1"/>
        </w:rPr>
        <w:jc w:val="left"/>
      </w:pPr>
      <w:r>
        <w:rPr>
          <w:b w:val="1"/>
        </w:rPr>
        <w:t xml:space="preserve">3.6 APA, NMD and outlier screens yield candidates but no confirmed event in the core SOCE-pathway genes</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 </w:t>
      </w:r>
      <w:r>
        <w:rPr>
          <w:i/>
        </w:rPr>
        <w:t xml:space="preserve">STMN2</w:t>
      </w:r>
      <w:r>
        <w:t xml:space="preserve"> 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In the primary SH-SY5Y model the positive control responded only moderately: the </w:t>
      </w:r>
      <w:r>
        <w:rPr>
          <w:i/>
        </w:rPr>
        <w:t xml:space="preserve">STMN2</w:t>
      </w:r>
      <w:r>
        <w:rPr/>
        <w:t xml:space="preserve"> intronic index shifted by +0.145 over all six libraries (bootstrap 95% CI +0.085 to +0.205; Supplementary Results 3). Among the depth-qualified units of the nineteen-gene SOCE-associated set, two intronic units showed moderate decreases (</w:t>
      </w:r>
      <w:r>
        <w:rPr>
          <w:i/>
        </w:rPr>
        <w:t xml:space="preserve">STIM1</w:t>
      </w:r>
      <w:r>
        <w:rPr/>
        <w:t xml:space="preserve"> intron 17, Δ = −0.173, 95% CI −0.233 to −0.123; </w:t>
      </w:r>
      <w:r>
        <w:rPr>
          <w:i/>
        </w:rPr>
        <w:t xml:space="preserve">STIM2</w:t>
      </w:r>
      <w:r>
        <w:rPr/>
        <w:t xml:space="preserve"> intron 13, Δ = −0.156, −0.239 to −0.037). Neither is independent of the splicing results: the 5′ window of the </w:t>
      </w:r>
      <w:r>
        <w:rPr>
          <w:i/>
        </w:rPr>
        <w:t xml:space="preserve">STIM2</w:t>
      </w:r>
      <w:r>
        <w:rPr/>
        <w:t xml:space="preserve"> unit contains the alternatively spliced 119-bp </w:t>
      </w:r>
      <w:r>
        <w:rPr>
          <w:i/>
        </w:rPr>
        <w:t xml:space="preserve">STIM2</w:t>
      </w:r>
      <w:r>
        <w:rPr/>
        <w:t xml:space="preserve"> exon of Table 3, and the </w:t>
      </w:r>
      <w:r>
        <w:rPr>
          <w:i/>
        </w:rPr>
        <w:t xml:space="preserve">STIM1</w:t>
      </w:r>
      <w:r>
        <w:rPr/>
        <w:t xml:space="preserve"> unit is the intron immediately upstream of the alternatively included </w:t>
      </w:r>
      <w:r>
        <w:rPr>
          <w:i/>
        </w:rPr>
        <w:t xml:space="preserve">STIM1</w:t>
      </w:r>
      <w:r>
        <w:rPr/>
        <w:t xml:space="preserve"> exon of Table 3. Both are candidate coverage gradients rather than localised poly(A) sites. No index change of 0.05 or more was found for </w:t>
      </w:r>
      <w:r>
        <w:rPr>
          <w:i/>
        </w:rPr>
        <w:t xml:space="preserve">ORAI1</w:t>
      </w:r>
      <w:r>
        <w:rPr/>
        <w:t xml:space="preserve">–3, </w:t>
      </w:r>
      <w:r>
        <w:rPr>
          <w:i/>
        </w:rPr>
        <w:t xml:space="preserve">TRPC1</w:t>
      </w:r>
      <w:r>
        <w:rPr/>
        <w:t xml:space="preserve">, </w:t>
      </w:r>
      <w:r>
        <w:rPr>
          <w:i/>
        </w:rPr>
        <w:t xml:space="preserve">SARAF</w:t>
      </w:r>
      <w:r>
        <w:rPr/>
        <w:t xml:space="preserve">, </w:t>
      </w:r>
      <w:r>
        <w:rPr>
          <w:i/>
        </w:rPr>
        <w:t xml:space="preserve">STIMATE</w:t>
      </w:r>
      <w:r>
        <w:rPr/>
        <w:t xml:space="preserve">, </w:t>
      </w:r>
      <w:r>
        <w:rPr>
          <w:i/>
        </w:rPr>
        <w:t xml:space="preserve">CBARP</w:t>
      </w:r>
      <w:r>
        <w:rPr/>
        <w:t xml:space="preserve"> or the SERCA genes, and three terminal-exon units outside this set also excluded zero (</w:t>
      </w:r>
      <w:r>
        <w:rPr>
          <w:i/>
        </w:rPr>
        <w:t xml:space="preserve">ITPR3</w:t>
      </w:r>
      <w:r>
        <w:rPr/>
        <w:t xml:space="preserve">, −0.152; </w:t>
      </w:r>
      <w:r>
        <w:rPr>
          <w:i/>
        </w:rPr>
        <w:t xml:space="preserve">MICU3</w:t>
      </w:r>
      <w:r>
        <w:rPr/>
        <w:t xml:space="preserve">, +0.097; </w:t>
      </w:r>
      <w:r>
        <w:rPr>
          <w:i/>
        </w:rPr>
        <w:t xml:space="preserve">ITPR1</w:t>
      </w:r>
      <w:r>
        <w:rPr/>
        <w:t xml:space="preserve">, −0.055; Supplementary Results 3). Because the control responded only moderately, absence of a signal is not evidence that a gene is spared.</w:t>
      </w:r>
    </w:p>
    <w:p>
      <w:pPr>
        <w:pStyle w:val="BodyText"/>
        <w:jc w:val="both"/>
      </w:pPr>
      <w:r>
        <w:rPr/>
        <w:t xml:space="preserve">The analysis was repeated in the iPSC-derived motor neurons, where 59 units in 29 genes passed the depth filter and the positive control behaved as intended: the index of </w:t>
      </w:r>
      <w:r>
        <w:rPr>
          <w:i/>
        </w:rPr>
        <w:t xml:space="preserve">STMN2</w:t>
      </w:r>
      <w:r>
        <w:rPr/>
        <w:t xml:space="preserve"> intron 2, which contains cryptic exon 2a, rose from 0.570 in controls to 0.819 in knockdown (Δ = +0.249, interval +0.208 to +0.290). Genes of the SOCE-associated set showed only small shifts, the largest being </w:t>
      </w:r>
      <w:r>
        <w:rPr>
          <w:i/>
        </w:rPr>
        <w:t xml:space="preserve">ATP2A2</w:t>
      </w:r>
      <w:r>
        <w:rPr/>
        <w:t xml:space="preserve"> intron 3 (−0.164) and, below 0.10, </w:t>
      </w:r>
      <w:r>
        <w:rPr>
          <w:i/>
        </w:rPr>
        <w:t xml:space="preserve">SARAF</w:t>
      </w:r>
      <w:r>
        <w:rPr/>
        <w:t xml:space="preserve"> intron 5 (+0.097), </w:t>
      </w:r>
      <w:r>
        <w:rPr>
          <w:i/>
        </w:rPr>
        <w:t xml:space="preserve">TRPC1</w:t>
      </w:r>
      <w:r>
        <w:rPr/>
        <w:t xml:space="preserve"> intron 1 (+0.083) and the </w:t>
      </w:r>
      <w:r>
        <w:rPr>
          <w:i/>
        </w:rPr>
        <w:t xml:space="preserve">STIM2</w:t>
      </w:r>
      <w:r>
        <w:rPr/>
        <w:t xml:space="preserve"> terminal exon (−0.074); with n = 2 per group the enumerated bootstrap intervals are coarse (Supplementary Results 3).</w:t>
      </w:r>
    </w:p>
    <w:p>
      <w:pPr>
        <w:pStyle w:val="BodyText"/>
        <w:jc w:val="both"/>
      </w:pPr>
      <w:r>
        <w:rPr/>
        <w:t xml:space="preserve">In the two mouse lines (74 qualifying units in C2C12 and 131 in NSC34) no positive control is available because the </w:t>
      </w:r>
      <w:r>
        <w:rPr>
          <w:i/>
        </w:rPr>
        <w:t xml:space="preserve">STMN2</w:t>
      </w:r>
      <w:r>
        <w:rPr/>
        <w:t xml:space="preserve"> 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rPr>
          <w:i w:val="0"/>
        </w:rPr>
        <w:t>(Melamed et al., 2019)</w:t>
      </w:r>
      <w:r>
        <w:fldChar w:fldCharType="end"/>
      </w:r>
      <w:r>
        <w:rPr/>
        <w:t xml:space="preserve">, so negative results have limited interpretability. No unit of the SOCE-associated set exceeded |Δ| = 0.30. Units labelled intron 5 at the human </w:t>
      </w:r>
      <w:r>
        <w:rPr>
          <w:i/>
        </w:rPr>
        <w:t xml:space="preserve">SARAF</w:t>
      </w:r>
      <w:r>
        <w:rPr/>
        <w:t xml:space="preserve"> locus (+0.097 in iPSC-derived motor neurons) and the mouse </w:t>
      </w:r>
      <w:r>
        <w:rPr>
          <w:i/>
        </w:rPr>
        <w:t xml:space="preserve">Saraf</w:t>
      </w:r>
      <w:r>
        <w:rPr/>
        <w:t xml:space="preserve"> locus (+0.204 in NSC34) were matched by ordinal label, not sequence alignment, and remain gene-level candidates that do not demonstrate recurrence of the same RNA event (Supplementary Results 3).</w:t>
      </w:r>
    </w:p>
    <w:p>
      <w:pPr>
        <w:pStyle w:val="BodyText"/>
        <w:jc w:val="both"/>
      </w:pPr>
      <w:r>
        <w:rPr/>
        <w:t xml:space="preserve">The TDP-43 × NMD-inhibition experiment (GSE307054) was examined descriptively because its four contrasts share baseline libraries and TDP-43 status is confounded with sequencing batch (Methods 2.8; Supplementary Results 2; Supplementary Figure S5). </w:t>
      </w:r>
      <w:r>
        <w:rPr>
          <w:i/>
        </w:rPr>
        <w:t xml:space="preserve">CBARP</w:t>
      </w:r>
      <w:r>
        <w:rPr/>
        <w:t xml:space="preserve"> had the largest mean interaction among the genes in Supplementary Table S10 (+1.52 log₂; range across conditions +1.19 to +2.23), a candidate pattern and not evidence that </w:t>
      </w:r>
      <w:r>
        <w:rPr>
          <w:i/>
        </w:rPr>
        <w:t xml:space="preserve">CBARP</w:t>
      </w:r>
      <w:r>
        <w:rPr/>
        <w:t xml:space="preserve"> is an NMD target; the cryptic-splicing reference genes were not selected as validated NMD-rescue controls, so their panel summary does not establish assay sensitivity or make a negative result conclusive (Supplementary Table S10b). The outlier-based FRASER analysis returned no genome-wide significant outlier, a design for which the method is poorly suited (Supplementary Results 1).</w:t>
      </w:r>
    </w:p>
    <w:p>
      <w:pPr>
        <w:pStyle w:val="BodyText"/>
        <w:jc w:val="both"/>
      </w:pPr>
      <w:r>
        <w:rPr/>
        <w:t xml:space="preserve">Taken together, these screens support altered calcium-related RNA profiles but do not establish that any SOCE-pathway gene is a direct target of cryptic splicing, APA or NMD-coupled degradation. The APA and NMD analyses are hypothesis-generating: they measure coverage gradients rather than poly(A) sites, and their contrasts share controls while batch is confounded with TDP-43 status.</w:t>
      </w:r>
    </w:p>
    <w:bookmarkEnd w:id="34"/>
    <w:bookmarkStart w:id="35" w:name="X296809a5d7cffea79e21b8aac279c8835f73ff1"/>
    <w:p>
      <w:pPr>
        <w:pStyle w:val="Heading3"/>
        <w:rPr>
          <w:b w:val="1"/>
        </w:rPr>
        <w:jc w:val="left"/>
      </w:pPr>
      <w:r>
        <w:rPr>
          <w:b w:val="1"/>
        </w:rPr>
        <w:t xml:space="preserve">3.7 Matched analyses do not establish enrichment of splicing changes in Ca²⁺ genes</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rPr>
          <w:i w:val="0"/>
        </w:rPr>
        <w:t>Two of the 24 dataset–panel combinations had nominal permutation p &lt; 0.05 after matching. Neither survived adjustment for the number of comparisons. The panels are nested, and the number of nominal results does not establish enrichment or identify chance as their cause. In the primary model, matching for gene properties reduced the apparent excess without demonstrating a remaining enrichment (Supplementary Table S4).</w:t>
      </w:r>
    </w:p>
    <w:bookmarkEnd w:id="35"/>
    <w:bookmarkStart w:id="36" w:name="X1ad39fe12362d18846df18291a4ef3a06af7863"/>
    <w:p>
      <w:pPr>
        <w:pStyle w:val="Heading3"/>
        <w:rPr>
          <w:b w:val="1"/>
        </w:rPr>
        <w:jc w:val="left"/>
      </w:pPr>
      <w:r>
        <w:rPr>
          <w:b w:val="1"/>
        </w:rPr>
        <w:t xml:space="preserve">3.8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The lack of a statistically significant </w:t>
      </w:r>
      <w:r>
        <w:rPr>
          <w:i/>
        </w:rPr>
        <w:t xml:space="preserve">TRPC1</w:t>
      </w:r>
      <w:r>
        <w:t xml:space="preserve"> difference does not establish equivalence, particularly in the smaller regional comparisons.</w:t>
      </w:r>
    </w:p>
    <w:p>
      <w:pPr>
        <w:pStyle w:val="BodyText"/>
        <w:jc w:val="both"/>
      </w:pPr>
      <w:r>
        <w:rPr>
          <w:i w:val="0"/>
        </w:rPr>
        <w:t xml:space="preserve">Because </w:t>
      </w:r>
      <w:r>
        <w:rPr>
          <w:i/>
        </w:rPr>
        <w:t>TRPC1</w:t>
      </w:r>
      <w:r>
        <w:rPr>
          <w:i w:val="0"/>
        </w:rPr>
        <w:t xml:space="preserve"> followed neuronal content in every group and region (Spearman ρ with </w:t>
      </w:r>
      <w:r>
        <w:rPr>
          <w:i/>
        </w:rPr>
        <w:t>SNAP25</w:t>
      </w:r>
      <w:r>
        <w:rPr>
          <w:i w:val="0"/>
        </w:rPr>
        <w:t xml:space="preserve"> = 0.34 to 0.86; Supplementary Table S18c), we regressed it on cell-composition markers (Methods 2.11). The ALS increase was attenuated but not reversed: in the six regions in which it was significant, the adjusted δ remained positive under every marker combination (+0.26 to +0.66), and it remained significant in cerebellum, frontal cortex and medial motor cortex whichever markers were used, and in all six regions after adjustment for </w:t>
      </w:r>
      <w:r>
        <w:rPr>
          <w:i/>
        </w:rPr>
        <w:t>RBFOX3</w:t>
      </w:r>
      <w:r>
        <w:rPr>
          <w:i w:val="0"/>
        </w:rPr>
        <w:t xml:space="preserve"> (Supplementary Table S18). Only the ALS cerebellar expression comparison included repeated donor samples: 158 samples represented 147 donors. After averaging within donors, </w:t>
      </w:r>
      <w:r>
        <w:rPr>
          <w:i/>
        </w:rPr>
        <w:t>TRPC1</w:t>
      </w:r>
      <w:r>
        <w:rPr>
          <w:i w:val="0"/>
        </w:rPr>
        <w:t xml:space="preserve"> remained higher (δ = +0.532, q = 2.3 × 10⁻⁶) and remained significant in all four marker models (adjusted δ = +0.248 to +0.370; Supplementary Table S18d).</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In this group </w:t>
      </w:r>
      <w:r>
        <w:rPr>
          <w:i/>
        </w:rPr>
        <w:t xml:space="preserve">SNAP25</w:t>
      </w:r>
      <w:r>
        <w:t xml:space="preserve"> fell and </w:t>
      </w:r>
      <w:r>
        <w:rPr>
          <w:i/>
        </w:rPr>
        <w:t xml:space="preserve">GFAP</w:t>
      </w:r>
      <w:r>
        <w:t xml:space="preserve"> rose in frontal and temporal cortex (</w:t>
      </w:r>
      <w:r>
        <w:rPr>
          <w:i/>
        </w:rPr>
        <w:t xml:space="preserve">SNAP25</w:t>
      </w:r>
      <w:r>
        <w:t xml:space="preserve"> δ = −0.57 and −0.55; </w:t>
      </w:r>
      <w:r>
        <w:rPr>
          <w:i/>
        </w:rPr>
        <w:t xml:space="preserve">GFAP</w:t>
      </w:r>
      <w:r>
        <w:t xml:space="preserve"> δ = +0.59 and +0.64), consistent with neuronal loss and astrogliosis. Adjustment for </w:t>
      </w:r>
      <w:r>
        <w:rPr>
          <w:i/>
        </w:rPr>
        <w:t xml:space="preserve">SNAP25</w:t>
      </w:r>
      <w:r>
        <w:t xml:space="preserve"> removed most of the temporal-cortex decrease in </w:t>
      </w:r>
      <w:r>
        <w:rPr>
          <w:i/>
        </w:rPr>
        <w:t xml:space="preserve">TRPC1</w:t>
      </w:r>
      <w:r>
        <w:t xml:space="preserve"> (δ = −0.571 before and −0.169 after; −0.390 after adjustment for </w:t>
      </w:r>
      <w:r>
        <w:rPr>
          <w:i/>
        </w:rPr>
        <w:t xml:space="preserve">RBFOX3</w:t>
      </w:r>
      <w:r>
        <w:t xml:space="preserve">) but not the frontal or cerebellar decrease (−0.42 to −0.68 and −0.39 to −0.42 across the four models; Supplementary Table S18).</w:t>
      </w:r>
      <w:r>
        <w:t xml:space="preserve"/>
      </w:r>
      <w:r>
        <w:rPr>
          <w:i/>
          <w:iCs/>
        </w:rPr>
        <w:t xml:space="preserve"/>
      </w:r>
      <w:r>
        <w:t xml:space="preserve"/>
      </w:r>
      <w:r>
        <w:t xml:space="preserve"/>
      </w:r>
    </w:p>
    <w:p>
      <w:pPr>
        <w:pStyle w:val="BodyText"/>
        <w:jc w:val="both"/>
      </w:pPr>
      <w:r>
        <w:rPr>
          <w:i/>
        </w:rPr>
        <w:t xml:space="preserve">TRPC1</w:t>
      </w:r>
      <w:r>
        <w:rPr/>
        <w:t xml:space="preserve"> was also examined in four independent datasets covering Alzheimer’s disease, Parkinson’s disease and multiple sclerosis (Supplementary Figure S7). It was decreased in Alzheimer’s disease (δ = −0.447; q = 1.6 × 10⁻⁷, with Braak-stage correlation ρ = −0.183, p = 1.8 × 10⁻³) and in Parkinson’s disease (δ = −0.677; q = 1.8 × 10⁻⁴). In multiple sclerosis, </w:t>
      </w:r>
      <w:r>
        <w:rPr>
          <w:i/>
        </w:rPr>
        <w:t xml:space="preserve">TRPC1</w:t>
      </w:r>
      <w:r>
        <w:rPr/>
        <w:t xml:space="preserve"> was decreased at donor level across all sampled lesion types (δ = −0.840; q = 0.038) and in lesions at sample level (δ = −0.594; q = 1.3 × 10⁻⁴), with the same direction in the second multiple-sclerosis cohort of five donors per group (five regions pooled, δ = −0.226; q = 0.49). Because </w:t>
      </w:r>
      <w:r>
        <w:rPr>
          <w:i/>
        </w:rPr>
        <w:t xml:space="preserve">TRPC1</w:t>
      </w:r>
      <w:r>
        <w:rPr/>
        <w:t xml:space="preserve">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rPr>
          <w:i w:val="0"/>
        </w:rPr>
        <w:t>(Paez et al., 2011)</w:t>
      </w:r>
      <w:r>
        <w:fldChar w:fldCharType="end"/>
      </w:r>
      <w:r>
        <w:rPr/>
        <w:t xml:space="preserve">, the multiple-sclerosis decrease could reflect demyelination. Two sensitivity analyses assessed that explanation: the decrease was present in normal-appearing white matter, where no statistically significant myelin-marker changes were detected (</w:t>
      </w:r>
      <w:r>
        <w:rPr>
          <w:i/>
        </w:rPr>
        <w:t xml:space="preserve">TRPC1</w:t>
      </w:r>
      <w:r>
        <w:rPr/>
        <w:t xml:space="preserve"> δ = −0.482 at sample level, p = 0.005, q = 0.10; −0.771 at donor level, uncorrected p = 0.030), and regression on </w:t>
      </w:r>
      <w:r>
        <w:rPr>
          <w:i/>
        </w:rPr>
        <w:t xml:space="preserve">MBP</w:t>
      </w:r>
      <w:r>
        <w:rPr/>
        <w:t xml:space="preserve">, </w:t>
      </w:r>
      <w:r>
        <w:rPr>
          <w:i/>
        </w:rPr>
        <w:t xml:space="preserve">PLP1</w:t>
      </w:r>
      <w:r>
        <w:rPr/>
        <w:t xml:space="preserve"> and </w:t>
      </w:r>
      <w:r>
        <w:rPr>
          <w:i/>
        </w:rPr>
        <w:t xml:space="preserve">GFAP</w:t>
      </w:r>
      <w:r>
        <w:rPr/>
        <w:t xml:space="preserve"> attenuated it, leaving it significant at sample level but not at donor level (p = 0.055). These analyses do not exclude a contribution from tissue composition (Supplementary Results 4;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Heat map of Cliff's delta for TRPC1, SARAF and CBARP in ten ALS brain and spinal cord regions, with the number of cases and controls in each row label."/>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b/>
          <w:rFonts w:ascii="Times New Roman" w:hAnsi="Times New Roman"/>
          <w:sz w:val="19"/>
        </w:rPr>
        <w:t xml:space="preserve">Figure 5.</w:t>
      </w:r>
      <w:r>
        <w:rPr>
          <w:rFonts w:ascii="Times New Roman" w:hAnsi="Times New Roman"/>
          <w:sz w:val="19"/>
        </w:rPr>
        <w:t xml:space="preserve"> ALS tissue expression of </w:t>
      </w:r>
      <w:r>
        <w:rPr>
          <w:i/>
          <w:rFonts w:ascii="Times New Roman" w:hAnsi="Times New Roman"/>
          <w:sz w:val="19"/>
        </w:rPr>
        <w:t xml:space="preserve">TRPC1</w:t>
      </w:r>
      <w:r>
        <w:rPr>
          <w:rFonts w:ascii="Times New Roman" w:hAnsi="Times New Roman"/>
          <w:sz w:val="19"/>
        </w:rPr>
        <w:t xml:space="preserve">, </w:t>
      </w:r>
      <w:r>
        <w:rPr>
          <w:i/>
          <w:rFonts w:ascii="Times New Roman" w:hAnsi="Times New Roman"/>
          <w:sz w:val="19"/>
        </w:rPr>
        <w:t xml:space="preserve">SARAF</w:t>
      </w:r>
      <w:r>
        <w:rPr>
          <w:rFonts w:ascii="Times New Roman" w:hAnsi="Times New Roman"/>
          <w:sz w:val="19"/>
        </w:rPr>
        <w:t xml:space="preserve"> and </w:t>
      </w:r>
      <w:r>
        <w:rPr>
          <w:i/>
          <w:rFonts w:ascii="Times New Roman" w:hAnsi="Times New Roman"/>
          <w:sz w:val="19"/>
        </w:rPr>
        <w:t xml:space="preserve">CBARP</w:t>
      </w:r>
      <w:r>
        <w:rPr>
          <w:rFonts w:ascii="Times New Roman" w:hAnsi="Times New Roman"/>
          <w:sz w:val="19"/>
        </w:rPr>
        <w:t xml:space="preserve"> by region. Cliff’s δ compares ALS with non-neurological controls within each NYGC region (case minus control) and is not adjusted for cell composition, age, RNA integrity or post-mortem interval; </w:t>
      </w:r>
      <w:r>
        <w:rPr>
          <w:i/>
          <w:rFonts w:ascii="Times New Roman" w:hAnsi="Times New Roman"/>
          <w:sz w:val="19"/>
        </w:rPr>
        <w:t xml:space="preserve"> marks Benjamini–Hochberg q &lt; 0.05, corrected within each region across the tested genes. Row labels give the numbers of ALS cases and controls (exact q values in Table 5); the rule separates brain from spinal cord. The regions come from one consortium cohort and are analysed separately; they are not independent cohorts, and the associations do not establish that TDP-43 loss caused them.</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p>
      <w:pPr>
        <w:pStyle w:val="BodyText"/>
      </w:pPr>
      <w:r>
        <w:rPr>
          <w:i w:val="0"/>
        </w:rPr>
        <w:t xml:space="preserve">The same indicator characterises the comparison group, whose constituent disorders are not public. In this group the cryptic junction was common in cortex: it exceeded 1% of the reads at the exon-1 donor in 21 of 42 frontal and 22 of 35 temporal cortex samples, against 2 of 154 and 2 of 25 ALS samples and none of the controls of the same regions (Cliff’s δ versus controls = +0.73 and +0.71; q &lt; 10⁻⁶), whereas in cerebellum no comparison-group or ALS sample exceeded 1% (Supplementary Table S18b). This is consistent with the TDP-43 proteinopathy of frontotemporal lobar degeneration or limbic-predominant age-related TDP-43 encephalopathy, although the diagnoses cannot be checked. </w:t>
      </w:r>
      <w:r>
        <w:rPr>
          <w:i/>
        </w:rPr>
        <w:t>TRPC1</w:t>
      </w:r>
      <w:r>
        <w:rPr>
          <w:i w:val="0"/>
        </w:rPr>
        <w:t xml:space="preserve"> was nevertheless lower in these regions. Within the group, </w:t>
      </w:r>
      <w:r>
        <w:rPr>
          <w:i/>
        </w:rPr>
        <w:t>TRPC1</w:t>
      </w:r>
      <w:r>
        <w:rPr>
          <w:i w:val="0"/>
        </w:rPr>
        <w:t xml:space="preserve"> fell as cryptic inclusion rose (ρ = −0.50 in frontal and −0.40 in temporal cortex), but </w:t>
      </w:r>
      <w:r>
        <w:rPr>
          <w:i/>
        </w:rPr>
        <w:t>SNAP25</w:t>
      </w:r>
      <w:r>
        <w:rPr>
          <w:i w:val="0"/>
        </w:rPr>
        <w:t xml:space="preserve"> fell with it (ρ = −0.49 and −0.47), and after adjustment for </w:t>
      </w:r>
      <w:r>
        <w:rPr>
          <w:i/>
        </w:rPr>
        <w:t>SNAP25</w:t>
      </w:r>
      <w:r>
        <w:rPr>
          <w:i w:val="0"/>
        </w:rPr>
        <w:t xml:space="preserve"> the associations weakened and did not reach statistical significance</w:t>
      </w:r>
      <w:r>
        <w:rPr>
          <w:i/>
        </w:rPr>
        <w:t xml:space="preserve"/>
      </w:r>
      <w:r>
        <w:rPr>
          <w:i w:val="0"/>
        </w:rPr>
        <w:t xml:space="preserve"> (partial ρ = −0.24, p = 0.12, and 0.00, p = 0.98; Supplementary Table S18c).</w:t>
      </w:r>
    </w:p>
    <w:p>
      <w:pPr>
        <w:pStyle w:val="BodyText"/>
      </w:pPr>
      <w:r>
        <w:t xml:space="preserve">Across groups and regions, </w:t>
      </w:r>
      <w:r>
        <w:rPr>
          <w:i/>
        </w:rPr>
        <w:t xml:space="preserve">TRPC1</w:t>
      </w:r>
      <w:r>
        <w:t xml:space="preserve"> expression therefore did not track the cryptic </w:t>
      </w:r>
      <w:r>
        <w:rPr>
          <w:i/>
        </w:rPr>
        <w:t xml:space="preserve">STMN2</w:t>
      </w:r>
      <w:r>
        <w:t xml:space="preserve"> indicator of TDP-43 loss of function: it rose in ALS brain regions, in which the junction exceeded 1% of reads in at most 14% of samples, showed no statistically significant difference in ALS spinal cord (41–67%) and fell in the cortex of the comparison group (50–63%), and within groups its association with the junction was attenuated after adjustment for a neuronal marker. This proxy analysis is correlational and does not test whether TDP-43 loss changes </w:t>
      </w:r>
      <w:r>
        <w:rPr>
          <w:i/>
        </w:rPr>
        <w:t xml:space="preserve">TRPC1</w:t>
      </w:r>
      <w:r>
        <w:t xml:space="preserve"> expression.</w:t>
      </w:r>
    </w:p>
    <w:bookmarkEnd w:id="37"/>
    <w:bookmarkEnd w:id="38"/>
    <w:bookmarkStart w:id="39" w:name="discussion"/>
    <w:p>
      <w:pPr>
        <w:pStyle w:val="Heading2"/>
        <w:rPr>
          <w:b w:val="1"/>
        </w:rPr>
        <w:jc w:val="left"/>
      </w:pPr>
      <w:r>
        <w:rPr>
          <w:b w:val="1"/>
        </w:rPr>
        <w:t xml:space="preserve">4. Discussion</w:t>
      </w:r>
    </w:p>
    <w:p>
      <w:pPr>
        <w:pStyle w:val="FirstParagraph"/>
        <w:jc w:val="both"/>
      </w:pPr>
      <w:r>
        <w:t xml:space="preserve">This study asked which calcium-regulatory RNA changes accompany TDP-43 depletion and whether an RNA-processing event in the core SOCE-pathway genes could explain the lower Ca²⁺-readdition response seen in one Fura-2 culture plate. The most robust RNA findings were the recurrent </w:t>
      </w:r>
      <w:r>
        <w:rPr>
          <w:i/>
        </w:rPr>
        <w:t xml:space="preserve">CBARP</w:t>
      </w:r>
      <w:r>
        <w:t xml:space="preserve"> splicing change, the shifts in ORAI- and STIM-family transcript composition in the public SH-SY5Y model, and the region-dependent </w:t>
      </w:r>
      <w:r>
        <w:rPr>
          <w:i/>
        </w:rPr>
        <w:t xml:space="preserve">TRPC1</w:t>
      </w:r>
      <w:r>
        <w:t xml:space="preserve">, </w:t>
      </w:r>
      <w:r>
        <w:rPr>
          <w:i/>
        </w:rPr>
        <w:t xml:space="preserve">SARAF</w:t>
      </w:r>
      <w:r>
        <w:t xml:space="preserve"> and </w:t>
      </w:r>
      <w:r>
        <w:rPr>
          <w:i/>
        </w:rPr>
        <w:t xml:space="preserve">CBARP</w:t>
      </w:r>
      <w:r>
        <w:t xml:space="preserve"> differences in ALS tissue. No confirmed RNA-processing event in the core SOCE-pathway genes explained the Fura-2 difference, which comes from three wells of one plate, was not measured in the RT-qPCR or RNA-seq cultures and requires independent replication. The RNA data are therefore candidates for matched, independently replicated experiments, not a mechanism for that observation.</w:t>
      </w:r>
    </w:p>
    <w:p>
      <w:pPr>
        <w:pStyle w:val="BodyText"/>
        <w:jc w:val="both"/>
      </w:pPr>
      <w:r>
        <w:rPr>
          <w:b/>
        </w:rPr>
        <w:t xml:space="preserve">RNA-processing findings depend on model and method.</w:t>
      </w:r>
      <w:r>
        <w:rPr/>
        <w:t xml:space="preserve"> The annotation-free analysis recovered established TDP-43-dependent cryptic targets, including the </w:t>
      </w:r>
      <w:r>
        <w:rPr>
          <w:i/>
        </w:rPr>
        <w:t xml:space="preserve">STMN2</w:t>
      </w:r>
      <w:r>
        <w:rPr/>
        <w:t xml:space="preserve"> and </w:t>
      </w:r>
      <w:r>
        <w:rPr>
          <w:i/>
        </w:rPr>
        <w:t xml:space="preserve">UNC13A</w:t>
      </w:r>
      <w:r>
        <w:rPr/>
        <w:t xml:space="preserve">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rPr>
          <w:i w:val="0"/>
        </w:rPr>
        <w:t>(Ling et al., 2015; Melamed et al., 2019; Brown et al., 2022; Ma et al., 2022)</w:t>
      </w:r>
      <w:r>
        <w:fldChar w:fldCharType="end"/>
      </w:r>
      <w:r>
        <w:rPr/>
        <w:t xml:space="preserve">, which supports detection of known targets in the deeper TDP-43 comparisons. Two controls versus none after FUS or TAF15 knockdown did not establish specificity, and the null comparisons show that the stringent-filter list is a set of candidates. The core SOCE-pathway genes carried no equivalent cryptic-splicing programme: the APA screen showed only coverage gradients and the NMD estimates were descriptive. Canonical loss of RNA repression is therefore reproducible across suitable neuronal models, whereas the calcium-regulatory analyses identify a smaller set of context-dependent processing events and broader changes in transcript-family composition.</w:t>
      </w:r>
    </w:p>
    <w:p>
      <w:pPr>
        <w:pStyle w:val="BodyText"/>
        <w:jc w:val="both"/>
      </w:pPr>
      <w:r>
        <w:rPr>
          <w:b/>
          <w:i/>
        </w:rPr>
        <w:t xml:space="preserve">CBARP</w:t>
      </w:r>
      <w:r>
        <w:rPr>
          <w:b/>
        </w:rPr>
        <w:t xml:space="preserve"> and the other splicing candidates.</w:t>
      </w:r>
      <w:r>
        <w:rPr/>
        <w:t xml:space="preserve"> </w:t>
      </w:r>
      <w:r>
        <w:rPr>
          <w:i/>
        </w:rPr>
        <w:t xml:space="preserve">CBARP</w:t>
      </w:r>
      <w:r>
        <w:rPr/>
        <w:t xml:space="preserve"> is the strongest recurrent candidate: it was affected in five of six datasets across two species, identified by complementary analyses of the same libraries, reproduced at junction level in a second human dataset, and showed the largest expression change among the Ca²⁺-entry regulators of Table 1 (Figure 4C; Supplementary Figure S3). Its product BARP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rPr/>
        <w:t xml:space="preserve">; this function concerns voltage-gated rather than store-operated channels, but it suggests that TDP-43 loss may remodel more than one route of calcium entry and secretion. The apparent </w:t>
      </w:r>
      <w:r>
        <w:rPr>
          <w:i/>
        </w:rPr>
        <w:t xml:space="preserve">TRPC1</w:t>
      </w:r>
      <w:r>
        <w:rPr/>
        <w:t xml:space="preserve"> splicing event failed replicate-level robustness checks, so any </w:t>
      </w:r>
      <w:r>
        <w:rPr>
          <w:i/>
        </w:rPr>
        <w:t xml:space="preserve">TRPC1</w:t>
      </w:r>
      <w:r>
        <w:rPr/>
        <w:t xml:space="preserve"> contribution, which has been linked to ER stress and AKT/mTOR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rPr/>
        <w:t xml:space="preserve">, is more likely to involve abundance, assembly or cellular context than a splice switch. The pooled effect of the inhibitory </w:t>
      </w:r>
      <w:r>
        <w:rPr>
          <w:i/>
        </w:rPr>
        <w:t xml:space="preserve">STIM2</w:t>
      </w:r>
      <w:r>
        <w:rPr/>
        <w:t xml:space="preserve">.1 exon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rPr>
          <w:i w:val="0"/>
        </w:rPr>
        <w:t>(Miederer et al., 2015; Rana et al., 2015)</w:t>
      </w:r>
      <w:r>
        <w:fldChar w:fldCharType="end"/>
      </w:r>
      <w:r>
        <w:rPr/>
        <w:t xml:space="preserve"> was negligible (Supplementary Table S15; not a test of equivalence), so a shared </w:t>
      </w:r>
      <w:r>
        <w:rPr>
          <w:i/>
        </w:rPr>
        <w:t xml:space="preserve">STIM2</w:t>
      </w:r>
      <w:r>
        <w:rPr/>
        <w:t xml:space="preserve">.1 switch appears unlikely to explain the Fura-2 difference, whereas the </w:t>
      </w:r>
      <w:r>
        <w:rPr>
          <w:i/>
        </w:rPr>
        <w:t xml:space="preserve">STIMATE</w:t>
      </w:r>
      <w:r>
        <w:rPr/>
        <w:t xml:space="preserve"> event, since </w:t>
      </w:r>
      <w:r>
        <w:rPr/>
        <w:t xml:space="preserve">STIMATE</w:t>
      </w:r>
      <w:r>
        <w:rPr/>
        <w:t xml:space="preserve"> promotes </w:t>
      </w:r>
      <w:r>
        <w:rPr/>
        <w:t xml:space="preserve">STIM1</w:t>
      </w:r>
      <w:r>
        <w:rPr/>
        <w:t xml:space="preserve"> activation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rPr>
          <w:i w:val="0"/>
        </w:rPr>
        <w:t>(Jing et al., 2015)</w:t>
      </w:r>
      <w:r>
        <w:fldChar w:fldCharType="end"/>
      </w:r>
      <w:r>
        <w:rPr/>
        <w:t xml:space="preserve">, and the </w:t>
      </w:r>
      <w:r>
        <w:rPr>
          <w:i/>
        </w:rPr>
        <w:t xml:space="preserve">ORAI3</w:t>
      </w:r>
      <w:r>
        <w:rPr/>
        <w:t xml:space="preserve"> event remain plausible candidates. Read-support filtering and the matched-background null accounted for most of the reduction in candidate events, including the apparent panel enrichment in the primary model and the iPSC colonies.</w:t>
      </w:r>
    </w:p>
    <w:p>
      <w:pPr>
        <w:pStyle w:val="BodyText"/>
        <w:jc w:val="both"/>
      </w:pPr>
      <w:r>
        <w:rPr>
          <w:b/>
        </w:rPr>
        <w:t xml:space="preserve">Possible contributors to the single-plate Fura-2 difference.</w:t>
      </w:r>
      <w:r>
        <w:rPr/>
        <w:t xml:space="preserve"> Within the single plate, mean ER release was 33% lower and mean readdition 84% lower, and readdition remained 77% lower when each well was normalised to its own release. This ratio is descriptive and cannot distinguish altered ER store depletion from changes in STIM activation, Ca²⁺ influx or clearance, and the response requires replication in independent cultures. The public transcript data suggest layers that could act together but were not tested. </w:t>
      </w:r>
      <w:r>
        <w:rPr>
          <w:i/>
        </w:rPr>
        <w:t xml:space="preserve">ATP2A2</w:t>
      </w:r>
      <w:r>
        <w:rPr/>
        <w:t xml:space="preserve">, which dominates the SERCA family, decreased modestly and could reduce ER refilling. </w:t>
      </w:r>
      <w:r>
        <w:rPr>
          <w:i/>
        </w:rPr>
        <w:t xml:space="preserve">ORAI3</w:t>
      </w:r>
      <w:r>
        <w:rPr/>
        <w:t xml:space="preserve"> rose from 8% to 30% of ORAI transcripts, </w:t>
      </w:r>
      <w:r>
        <w:rPr>
          <w:i/>
        </w:rPr>
        <w:t xml:space="preserve">ORAI2</w:t>
      </w:r>
      <w:r>
        <w:rPr/>
        <w:t xml:space="preserve"> fell from 77% to 53% and </w:t>
      </w:r>
      <w:r>
        <w:rPr>
          <w:i/>
        </w:rPr>
        <w:t xml:space="preserve">SARAF</w:t>
      </w:r>
      <w:r>
        <w:rPr/>
        <w:t xml:space="preserve"> increased; because </w:t>
      </w:r>
      <w:r>
        <w:rPr/>
        <w:t xml:space="preserve">SARAF</w:t>
      </w:r>
      <w:r>
        <w:rPr/>
        <w:t xml:space="preserve"> promotes slow Ca²⁺-dependent inactivation and </w:t>
      </w:r>
      <w:r>
        <w:rPr/>
        <w:t xml:space="preserve">ORAI2</w:t>
      </w:r>
      <w:r>
        <w:rPr/>
        <w:t xml:space="preserve"> and </w:t>
      </w:r>
      <w:r>
        <w:rPr/>
        <w:t xml:space="preserve">ORAI3</w:t>
      </w:r>
      <w:r>
        <w:rPr/>
        <w:t xml:space="preserve"> can modify </w:t>
      </w:r>
      <w:r>
        <w:rPr/>
        <w:t xml:space="preserve">ORAI1</w:t>
      </w:r>
      <w:r>
        <w:rPr/>
        <w:t xml:space="preserve">-mediated kinetics and restrain entry in heteromeric channels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rPr/>
        <w:t xml:space="preserve">, the </w:t>
      </w:r>
      <w:r>
        <w:rPr>
          <w:i/>
        </w:rPr>
        <w:t xml:space="preserve">ORAI3</w:t>
      </w:r>
      <w:r>
        <w:rPr/>
        <w:t xml:space="preserve"> and </w:t>
      </w:r>
      <w:r>
        <w:rPr>
          <w:i/>
        </w:rPr>
        <w:t xml:space="preserve">SARAF</w:t>
      </w:r>
      <w:r>
        <w:rPr/>
        <w:t xml:space="preserve"> increases are plausible contributors to a smaller readdition amplitude, whereas the </w:t>
      </w:r>
      <w:r>
        <w:rPr>
          <w:i/>
        </w:rPr>
        <w:t xml:space="preserve">ORAI2</w:t>
      </w:r>
      <w:r>
        <w:rPr/>
        <w:t xml:space="preserve"> decrease predicts the opposite. </w:t>
      </w:r>
      <w:r>
        <w:rPr/>
        <w:t xml:space="preserve">ORAI3</w:t>
      </w:r>
      <w:r>
        <w:rPr/>
        <w:t xml:space="preserve"> is not intrinsically inhibitory, however: in astrocytes </w:t>
      </w:r>
      <w:r>
        <w:rPr/>
        <w:t xml:space="preserve">STIM1</w:t>
      </w:r>
      <w:r>
        <w:rPr/>
        <w:t xml:space="preserve"> with </w:t>
      </w:r>
      <w:r>
        <w:rPr/>
        <w:t xml:space="preserve">ORAI1</w:t>
      </w:r>
      <w:r>
        <w:rPr/>
        <w:t xml:space="preserve"> and </w:t>
      </w:r>
      <w:r>
        <w:rPr/>
        <w:t xml:space="preserve">ORAI3</w:t>
      </w:r>
      <w:r>
        <w:rPr/>
        <w:t xml:space="preserve"> mediates most SOCE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rPr/>
        <w:t xml:space="preserve">, and </w:t>
      </w:r>
      <w:r>
        <w:rPr/>
        <w:t xml:space="preserve">SARAF</w:t>
      </w:r>
      <w:r>
        <w:rPr/>
        <w:t xml:space="preserve"> also regulates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rPr/>
        <w:t xml:space="preserve">. Channel output depends on protein abundance, assembly and localisation rather than summed RNA, and even the </w:t>
      </w:r>
      <w:r>
        <w:rPr/>
        <w:t xml:space="preserve">STIM1</w:t>
      </w:r>
      <w:r>
        <w:rPr/>
        <w:t xml:space="preserve">:</w:t>
      </w:r>
      <w:r>
        <w:rPr/>
        <w:t xml:space="preserve">ORAI1</w:t>
      </w:r>
      <w:r>
        <w:rPr/>
        <w:t xml:space="preserve"> protein ratio changes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rPr>
          <w:i w:val="0"/>
        </w:rPr>
        <w:t>(Hoover and Lewis, 2011)</w:t>
      </w:r>
      <w:r>
        <w:fldChar w:fldCharType="end"/>
      </w:r>
      <w:r>
        <w:rPr/>
        <w:t xml:space="preserve">; a transcript rise could also be compensatory. A larger PMCA transcript pool (+35.2%, with </w:t>
      </w:r>
      <w:r>
        <w:rPr>
          <w:i/>
        </w:rPr>
        <w:t xml:space="preserve">ATP2B2</w:t>
      </w:r>
      <w:r>
        <w:rPr/>
        <w:t xml:space="preserve"> and </w:t>
      </w:r>
      <w:r>
        <w:rPr>
          <w:i/>
        </w:rPr>
        <w:t xml:space="preserve">ATP2B3</w:t>
      </w:r>
      <w:r>
        <w:rPr/>
        <w:t xml:space="preserve"> rising from low baseline) could accelerate extrusion, and because SERCA was inhibited by CPA during readdition, faster ER re-uptake cannot explain the peak without evidence of residual SERCA activity or inhibitor washout.</w:t>
      </w:r>
    </w:p>
    <w:p>
      <w:pPr>
        <w:pStyle w:val="BodyText"/>
        <w:jc w:val="both"/>
      </w:pPr>
      <w:r>
        <w:rPr>
          <w:b/>
        </w:rPr>
        <w:t xml:space="preserve">Comparison with ALS calcium models and cell state.</w:t>
      </w:r>
      <w:r>
        <w:rPr/>
        <w:t xml:space="preserve"> SOCE dysregulation differs in direction across ALS models: SOD1(G93A) astrocytes show enhanced store-operated entry and Ca²⁺-dependent exocytosis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rPr/>
        <w:t xml:space="preserve">, with reduced SERCA abundance and lower resting ER Ca²⁺ in spinal-cord astrocytes of the same model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rPr/>
        <w:t xml:space="preserve">. If the lower readdition signal of one SH-SY5Y plate were replicated, genetic lesion, cell identity, differentiation state and compensatory timing would be candidate reasons for a different direction. The 38.5% lower WST-1 signal (four wells, one experiment) is consistent with reported reductions in metabolic activity, growth and ATP production after </w:t>
      </w:r>
      <w:r>
        <w:rPr>
          <w:i/>
        </w:rPr>
        <w:t xml:space="preserve">TARDBP</w:t>
      </w:r>
      <w:r>
        <w:rPr/>
        <w:t xml:space="preserve"> silencing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rPr/>
        <w:t xml:space="preserve">, but it cannot separate fewer cells from lower activity per cell; the approximately 25% lower mitochondrial-uptake transcript pool (mainly </w:t>
      </w:r>
      <w:r>
        <w:rPr>
          <w:i/>
        </w:rPr>
        <w:t xml:space="preserve">MCU</w:t>
      </w:r>
      <w:r>
        <w:rPr/>
        <w:t xml:space="preserve">, </w:t>
      </w:r>
      <w:r>
        <w:rPr>
          <w:i/>
        </w:rPr>
        <w:t xml:space="preserve">MICU2</w:t>
      </w:r>
      <w:r>
        <w:rPr/>
        <w:t xml:space="preserve"> and </w:t>
      </w:r>
      <w:r>
        <w:rPr>
          <w:i/>
        </w:rPr>
        <w:t xml:space="preserve">MCUB</w:t>
      </w:r>
      <w:r>
        <w:rPr/>
        <w:t xml:space="preserve">) cannot be translated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rPr/>
        <w:t xml:space="preserve">. Reduced ATP supply could impair SERCA-dependent store refilling, and altered mitochondrial uptake could change local Ca²⁺ clearance; direct measurements would be needed to test either.</w:t>
      </w:r>
    </w:p>
    <w:p>
      <w:pPr>
        <w:pStyle w:val="BodyText"/>
        <w:jc w:val="both"/>
      </w:pPr>
      <w:r>
        <w:rPr>
          <w:b/>
        </w:rPr>
        <w:t xml:space="preserve">Relevance to disease tissue. </w:t>
      </w:r>
      <w:r>
        <w:rPr>
          <w:i/>
        </w:rPr>
        <w:t xml:space="preserve">TRPC1</w:t>
      </w:r>
      <w:r>
        <w:rPr/>
        <w:t xml:space="preserve"> and </w:t>
      </w:r>
      <w:r>
        <w:rPr>
          <w:i/>
        </w:rPr>
        <w:t xml:space="preserve">SARAF</w:t>
      </w:r>
      <w:r>
        <w:rPr/>
        <w:t xml:space="preserve"> increased and </w:t>
      </w:r>
      <w:r>
        <w:rPr>
          <w:i/>
        </w:rPr>
        <w:t xml:space="preserve">CBARP</w:t>
      </w:r>
      <w:r>
        <w:rPr/>
        <w:t xml:space="preserve"> decreased in six ALS brain regions, matching the direction observed in the public SH-SY5Y model. These are regional disease associations in bulk post-mortem tissue; age, RNA integrity and post-mortem interval were not modelled, and the diagnoses of the comparison group are not public. </w:t>
      </w:r>
      <w:r>
        <w:rPr>
          <w:i/>
        </w:rPr>
        <w:t xml:space="preserve">TRPC1</w:t>
      </w:r>
      <w:r>
        <w:rPr/>
        <w:t xml:space="preserve"> showed no statistically significant difference in cervical or lumbar spinal cord and decreased in the neurological comparison cohorts. Among the disease cohorts surveyed, ALS alone showed a significant </w:t>
      </w:r>
      <w:r>
        <w:rPr>
          <w:i/>
        </w:rPr>
        <w:t xml:space="preserve">TRPC1</w:t>
      </w:r>
      <w:r>
        <w:rPr/>
        <w:t xml:space="preserve"> increase, concentrated in brain regions. The increase was attenuated but not removed by adjustment for neuronal and astrocytic markers, although marker adjustment cannot exclude residual effects of cell composition; in these data it did not, however, track the cryptic </w:t>
      </w:r>
      <w:r>
        <w:rPr>
          <w:i/>
        </w:rPr>
        <w:t xml:space="preserve">STMN2</w:t>
      </w:r>
      <w:r>
        <w:rPr/>
        <w:t xml:space="preserve"> indicator of TDP-43 loss of function, and a comparison group that carried that indicator in cortex more often than the ALS samples showed the opposite change. The tissue increase is therefore a disease-associated candidate whose cause is not established, and the direction it shares with the cellular model does not by itself link the two.</w:t>
      </w:r>
    </w:p>
    <w:p>
      <w:pPr>
        <w:pStyle w:val="BodyText"/>
        <w:jc w:val="both"/>
      </w:pPr>
      <w:r>
        <w:rPr>
          <w:b/>
        </w:rPr>
        <w:t xml:space="preserve">Working hypotheses and discriminating experiments.</w:t>
      </w:r>
      <w:r>
        <w:rPr/>
        <w:t xml:space="preserve"> Earlier work linked TDP-43 to Ca²⁺ signalling through ER–mitochondrial contacts: disease-associated TDP-43 disrupts VAPB–PTPIP51 tethering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rPr>
          <w:i w:val="0"/>
        </w:rPr>
        <w:t>(Stoica et al., 2014)</w:t>
      </w:r>
      <w:r>
        <w:fldChar w:fldCharType="end"/>
      </w:r>
      <w:r>
        <w:rPr/>
        <w:t xml:space="preserve">, and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rPr>
          <w:i w:val="0"/>
        </w:rPr>
        <w:t>(Markovinovic et al., 2024)</w:t>
      </w:r>
      <w:r>
        <w:fldChar w:fldCharType="end"/>
      </w:r>
      <w:r>
        <w:rPr/>
        <w:t xml:space="preserve">. The working model in Figure 6 proposes hypotheses about the plasma-membrane replenishment phase, none of which was tested here: TDP-43 loss might alter bioenergetics, ER refilling, channel composition and feedback control, and recurrent </w:t>
      </w:r>
      <w:r>
        <w:rPr>
          <w:i/>
        </w:rPr>
        <w:t xml:space="preserve">CBARP</w:t>
      </w:r>
      <w:r>
        <w:rPr/>
        <w:t xml:space="preserve"> processing may add a parallel effect on voltage-gated entry and exocytosis. Each hypothesis makes a discriminating prediction. </w:t>
      </w:r>
      <w:r>
        <w:rPr>
          <w:i/>
        </w:rPr>
        <w:t xml:space="preserve">ATP2A2</w:t>
      </w:r>
      <w:r>
        <w:rPr/>
        <w:t xml:space="preserve"> or bioenergetic perturbations could be tested with direct ER Ca²⁺ measurements and refilling after CPA washout; </w:t>
      </w:r>
      <w:r>
        <w:rPr>
          <w:i/>
        </w:rPr>
        <w:t xml:space="preserve">SARAF</w:t>
      </w:r>
      <w:r>
        <w:rPr/>
        <w:t xml:space="preserve"> or ORAI perturbations for effects on the readdition response in independently replicated cultures; and an isoform-specific </w:t>
      </w:r>
      <w:r>
        <w:rPr>
          <w:i/>
        </w:rPr>
        <w:t xml:space="preserve">CBARP</w:t>
      </w:r>
      <w:r>
        <w:rPr/>
        <w:t xml:space="preserve"> perturbation for a larger effect on depolarisation-evoked Ca²⁺ entry or secretion than on CPA-triggered SOCE.</w:t>
      </w:r>
    </w:p>
    <w:p>
      <w:pPr>
        <w:keepNext/>
      </w:pPr>
      <w:r>
        <w:drawing>
          <wp:inline>
            <wp:extent cx="5532120" cy="3192656"/>
            <wp:docPr id="6" name="Picture 6" descr="Diagram of laboratory measurements (RT-qPCR and Fura-2, from separate cultures) and three candidate mechanisms suggested by public RNA-seq data, linked by dashed hypothesis arrows."/>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532120" cy="3192656"/>
                    </a:xfrm>
                    <a:prstGeom prst="rect"/>
                  </pic:spPr>
                </pic:pic>
              </a:graphicData>
            </a:graphic>
          </wp:inline>
        </w:drawing>
      </w:r>
    </w:p>
    <w:p>
      <w:pPr>
        <w:pStyle w:val="Caption"/>
      </w:pPr>
      <w:r>
        <w:rPr>
          <w:b/>
          <w:rFonts w:ascii="Times New Roman" w:hAnsi="Times New Roman"/>
          <w:sz w:val="19"/>
        </w:rPr>
        <w:t xml:space="preserve">Figure 6.</w:t>
      </w:r>
      <w:r>
        <w:rPr>
          <w:rFonts w:ascii="Times New Roman" w:hAnsi="Times New Roman"/>
          <w:sz w:val="19"/>
        </w:rPr>
        <w:t xml:space="preserve"> Working model linking laboratory measurements to candidate hypotheses. Blue boxes and solid arrows: measurements after </w:t>
      </w:r>
      <w:r>
        <w:rPr>
          <w:i/>
          <w:rFonts w:ascii="Times New Roman" w:hAnsi="Times New Roman"/>
          <w:sz w:val="19"/>
        </w:rPr>
        <w:t xml:space="preserve">TARDBP</w:t>
      </w:r>
      <w:r>
        <w:rPr>
          <w:rFonts w:ascii="Times New Roman" w:hAnsi="Times New Roman"/>
          <w:sz w:val="19"/>
        </w:rPr>
        <w:t xml:space="preserve"> knockdown, namely </w:t>
      </w:r>
      <w:r>
        <w:rPr>
          <w:i/>
          <w:rFonts w:ascii="Times New Roman" w:hAnsi="Times New Roman"/>
          <w:sz w:val="19"/>
        </w:rPr>
        <w:t xml:space="preserve">TARDBP</w:t>
      </w:r>
      <w:r>
        <w:rPr>
          <w:rFonts w:ascii="Times New Roman" w:hAnsi="Times New Roman"/>
          <w:sz w:val="19"/>
        </w:rPr>
        <w:t xml:space="preserve"> mRNA and higher </w:t>
      </w:r>
      <w:r>
        <w:rPr>
          <w:i/>
          <w:rFonts w:ascii="Times New Roman" w:hAnsi="Times New Roman"/>
          <w:sz w:val="19"/>
        </w:rPr>
        <w:t xml:space="preserve">TRPC1</w:t>
      </w:r>
      <w:r>
        <w:rPr>
          <w:rFonts w:ascii="Times New Roman" w:hAnsi="Times New Roman"/>
          <w:sz w:val="19"/>
        </w:rPr>
        <w:t xml:space="preserve">, </w:t>
      </w:r>
      <w:r>
        <w:rPr>
          <w:i/>
          <w:rFonts w:ascii="Times New Roman" w:hAnsi="Times New Roman"/>
          <w:sz w:val="19"/>
        </w:rPr>
        <w:t xml:space="preserve">STIM1</w:t>
      </w:r>
      <w:r>
        <w:rPr>
          <w:rFonts w:ascii="Times New Roman" w:hAnsi="Times New Roman"/>
          <w:sz w:val="19"/>
        </w:rPr>
        <w:t xml:space="preserve">, </w:t>
      </w:r>
      <w:r>
        <w:rPr>
          <w:i/>
          <w:rFonts w:ascii="Times New Roman" w:hAnsi="Times New Roman"/>
          <w:sz w:val="19"/>
        </w:rPr>
        <w:t xml:space="preserve">ORAI1</w:t>
      </w:r>
      <w:r>
        <w:rPr>
          <w:rFonts w:ascii="Times New Roman" w:hAnsi="Times New Roman"/>
          <w:sz w:val="19"/>
        </w:rPr>
        <w:t xml:space="preserve"> and </w:t>
      </w:r>
      <w:r>
        <w:rPr>
          <w:i/>
          <w:rFonts w:ascii="Times New Roman" w:hAnsi="Times New Roman"/>
          <w:sz w:val="19"/>
        </w:rPr>
        <w:t xml:space="preserve">ATP2A3</w:t>
      </w:r>
      <w:r>
        <w:rPr>
          <w:rFonts w:ascii="Times New Roman" w:hAnsi="Times New Roman"/>
          <w:sz w:val="19"/>
        </w:rPr>
        <w:t xml:space="preserve"> mRNA (RT-qPCR, four biological replicates per group, day-5 RNA) and, in three wells per group of one culture plate 72 h after transduction, lower mean ER-release and Ca²⁺-readdition amplitudes (descriptive). The RT-qPCR and Fura-2 measurements come from different cultures and time points and are not paired. Orange boxes: candidate mechanisms suggested by public RNA-seq data; dashed arrows: hypotheses for perturbation, not demonstrated links. </w:t>
      </w:r>
      <w:r>
        <w:rPr>
          <w:i/>
          <w:rFonts w:ascii="Times New Roman" w:hAnsi="Times New Roman"/>
          <w:sz w:val="19"/>
        </w:rPr>
        <w:t xml:space="preserve">CBARP</w:t>
      </w:r>
      <w:r>
        <w:rPr>
          <w:rFonts w:ascii="Times New Roman" w:hAnsi="Times New Roman"/>
          <w:sz w:val="19"/>
        </w:rPr>
        <w:t xml:space="preserve"> sits on a parallel voltage-gated branch that was not measured and has no arrow to the readdition response.</w:t>
      </w:r>
    </w:p>
    <w:p>
      <w:pPr>
        <w:pStyle w:val="Heading3"/>
      </w:pPr>
      <w:r>
        <w:t>Limitations</w:t>
      </w:r>
    </w:p>
    <w:p>
      <w:r>
        <w:rPr>
          <w:i/>
        </w:rPr>
        <w:t xml:space="preserve">TARDBP</w:t>
      </w:r>
      <w:r>
        <w:rPr/>
        <w:t xml:space="preserve"> depletion was shown at the mRNA level only, with a single TDP-43-targeting shRNA and no rescue experiment. The Fura-2 comparison rests on three wells per group from one culture plate prepared 72 h after transduction while puromycin selection was in progress; it does not estimate between-experiment variability, was not paired with the RNA samples and was not characterised pharmacologically, for example with a store-operated channel blocker such as BTP2, Synta66 or Gd³⁺, so the readdition signal is defined by the depletion–readdition protocol and not by pharmacology. Cuvette ratios report net cytosolic accumulation, and neither cell number nor maximum response was measured; the WST-1 signal (48 h, four wells of one experiment) is not a cell count, so a smaller or less healthy cell population could contribute to the smaller Fura-2 signal, although the ratiometric readout is in principle independent of cell number. RT-qPCR used four biological replicates per group and supported the direction of the four target-gene changes in an independent RNA sample set, but it was normalised to a single reference gene, </w:t>
      </w:r>
      <w:r>
        <w:rPr>
          <w:i/>
        </w:rPr>
        <w:t xml:space="preserve">GAPDH</w:t>
      </w:r>
      <w:r>
        <w:rPr/>
        <w:t xml:space="preserve">, whose mean Ct was similar between groups and which rose in the public inducible comparison (log2FC +0.61; </w:t>
      </w:r>
      <w:r>
        <w:rPr>
          <w:i/>
        </w:rPr>
        <w:t xml:space="preserve">TBP</w:t>
      </w:r>
      <w:r>
        <w:rPr/>
        <w:t xml:space="preserve"> and </w:t>
      </w:r>
      <w:r>
        <w:rPr>
          <w:i/>
        </w:rPr>
        <w:t xml:space="preserve">B2M</w:t>
      </w:r>
      <w:r>
        <w:rPr/>
        <w:t xml:space="preserve"> were stable), so the increases may be underestimated; amplification efficiencies were not determined, and </w:t>
      </w:r>
      <w:r>
        <w:rPr>
          <w:i/>
        </w:rPr>
        <w:t xml:space="preserve">TARDBP</w:t>
      </w:r>
      <w:r>
        <w:rPr/>
        <w:t xml:space="preserve"> mRNA was not re-measured in the RNA set used for the target genes. The laboratory assay used undifferentiated SH-SY5Y cells, whereas the public study used an inducible model and the motor-neuron datasets had no matched Ca²⁺ measurements.</w:t>
      </w:r>
    </w:p>
    <w:p>
      <w:r>
        <w:t xml:space="preserve">Bulk post-mortem expression can reflect cell composition, which regression on marker genes adjusts for only partially, and age, RNA integrity and post-mortem interval were not modelled as covariates. The disorders that make up the NYGC comparison group are not public, and the cryptic </w:t>
      </w:r>
      <w:r>
        <w:rPr>
          <w:i/>
        </w:rPr>
        <w:t xml:space="preserve">STMN2</w:t>
      </w:r>
      <w:r>
        <w:t xml:space="preserve"> junction indicates TDP-43 loss of function rather than a diagnosis.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rPr/>
        <w:t xml:space="preserve">Reanalysis of public TDP-43-depletion RNA-seq data and laboratory RT-qPCR identified calcium-regulatory candidates: a recurrent </w:t>
      </w:r>
      <w:r>
        <w:rPr>
          <w:i/>
        </w:rPr>
        <w:t xml:space="preserve">CBARP</w:t>
      </w:r>
      <w:r>
        <w:rPr/>
        <w:t xml:space="preserve"> splicing change, shifts in ORAI- and STIM-family transcript composition, and region-dependent </w:t>
      </w:r>
      <w:r>
        <w:rPr>
          <w:i/>
        </w:rPr>
        <w:t xml:space="preserve">TRPC1</w:t>
      </w:r>
      <w:r>
        <w:rPr/>
        <w:t xml:space="preserve">, </w:t>
      </w:r>
      <w:r>
        <w:rPr>
          <w:i/>
        </w:rPr>
        <w:t xml:space="preserve">SARAF</w:t>
      </w:r>
      <w:r>
        <w:rPr/>
        <w:t xml:space="preserve"> and </w:t>
      </w:r>
      <w:r>
        <w:rPr>
          <w:i/>
        </w:rPr>
        <w:t xml:space="preserve">CBARP</w:t>
      </w:r>
      <w:r>
        <w:rPr/>
        <w:t xml:space="preserve"> differences in ALS tissue. A lower Fura-2 Ca²⁺-readdition response was seen in knockdown wells of one culture plate, but it was neither replicated nor paired with the RNA measurements, and no confirmed RNA-processing event in the core SOCE-pathway genes explained it. Coverage-based APA and descriptive NMD summaries provide no confirmatory evidence that these genes are direct targets of those pathways. </w:t>
      </w:r>
      <w:r>
        <w:rPr>
          <w:i/>
        </w:rPr>
        <w:t xml:space="preserve">CBARP</w:t>
      </w:r>
      <w:r>
        <w:rPr/>
        <w:t xml:space="preserve">, </w:t>
      </w:r>
      <w:r>
        <w:rPr>
          <w:i/>
        </w:rPr>
        <w:t xml:space="preserve">SARAF</w:t>
      </w:r>
      <w:r>
        <w:rPr/>
        <w:t xml:space="preserve"> and </w:t>
      </w:r>
      <w:r>
        <w:rPr>
          <w:i/>
        </w:rPr>
        <w:t xml:space="preserve">TRPC1</w:t>
      </w:r>
      <w:r>
        <w:rPr/>
        <w:t xml:space="preserve"> are therefore priorities for protein-level and independently replicated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i w:val="0"/>
        </w:rPr>
        <w:t>Data availability.</w:t>
      </w:r>
      <w:r>
        <w:rPr>
          <w:i w:val="0"/>
        </w:rPr>
        <w:t xml:space="preserve"> </w:t>
      </w:r>
      <w:r>
        <w:rPr>
          <w:i w:val="0"/>
        </w:rPr>
        <w:t>All RNA-seq datasets analysed are public and none were generated for this study; accessions are listed in Supplementary Table S17. The publicly accessible analysis package is deposited at</w:t>
      </w:r>
      <w:r>
        <w:rPr>
          <w:i w:val="0"/>
        </w:rPr>
        <w:t xml:space="preserve"> </w:t>
      </w:r>
      <w:r>
        <w:rPr>
          <w:b/>
          <w:bCs/>
          <w:i w:val="0"/>
        </w:rPr>
        <w:t>https://github.com/elmasnuryilmaz/tdp43-soce-manuscript</w:t>
      </w:r>
      <w:r>
        <w:rPr>
          <w:i w:val="0"/>
        </w:rP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v1.0.8 at https://github.com/elmasnuryilmaz/tdp43-soce-manuscript/releases/tag/v1.0.8.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biological-replicate RT-qPCR values, well-level Fura-2 and WST-1 values, and the summaries behind every laboratory figure panel, are provided in Supplementary Table S1. The values behind Supplementary Figure S1 and the surrogate-variable comparison of Section 3.2 are provided as source_data/power_simulation_S1.csv and source_data/svaseq_sensitivity_SHSY5Y.csv, and the featureCounts run compared in Section 2.2 as source_data/DESeq2_ctrl_vs_75_featureCounts.csv.</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rPr>
          <w:i w:val="0"/>
        </w:rPr>
        <w:t>During preparation of this manuscript, the authors used Anthropic Claude and OpenAI Codex to assist with drafting, language revision, analysis-script development and revision, figure preparation,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S1.</w:t>
      </w:r>
      <w:r>
        <w:rPr>
          <w:b w:val="0"/>
          <w:bCs/>
        </w:rPr>
        <w:t xml:space="preserve"> Laboratory source data: raw Ct and relative expression for four biological RT-qPCR replicates per group, Fura-2 amplitudes from three wells per group on one plate, WST-1 values from four wells of one experiment, primers and thermal profile. RT-qPCR includes Holm-adjusted ΔCt tests; Fura-2 and WST-1 are descriptive.</w:t>
      </w:r>
      <w:r>
        <w:rPr>
          <w:b w:val="0"/>
          <w:bCs/>
        </w:rPr>
        <w:t xml:space="preserve"/>
      </w:r>
      <w:r>
        <w:rPr>
          <w:b w:val="0"/>
        </w:rPr>
        <w:t xml:space="preserve"/>
      </w:r>
      <w:r>
        <w:rPr>
          <w:b w:val="0"/>
        </w:rPr>
        <w:t xml:space="preserve"/>
      </w:r>
    </w:p>
    <w:p>
      <w:pPr>
        <w:pStyle w:val="BodyText"/>
        <w:jc w:val="both"/>
      </w:pPr>
      <w:r>
        <w:rPr>
          <w:b/>
          <w:bCs/>
        </w:rPr>
        <w:t>S2.</w:t>
      </w:r>
      <w:r>
        <w:rPr>
          <w:b w:val="0"/>
        </w:rPr>
        <w:t xml:space="preserve"> </w:t>
      </w:r>
      <w:r>
        <w:rPr>
          <w:b w:val="0"/>
        </w:rPr>
        <w:t xml:space="preserve">Ca²⁺ gene panels (four cumulative sets).</w:t>
      </w:r>
    </w:p>
    <w:p>
      <w:pPr>
        <w:pStyle w:val="BodyText"/>
        <w:jc w:val="both"/>
      </w:pPr>
      <w:r>
        <w:rPr>
          <w:b/>
          <w:bCs/>
        </w:rPr>
        <w:t>S3.</w:t>
      </w:r>
      <w:r>
        <w:rPr>
          <w:b w:val="0"/>
        </w:rPr>
        <w:t xml:space="preserve"> </w:t>
      </w:r>
      <w:r>
        <w:rPr>
          <w:b w:val="0"/>
        </w:rPr>
        <w:t xml:space="preserve">rMATS events meeting FDR &lt; 0.05 and |ΔPSI| ≥ 0.10, JC and JCEC, six datasets, with the raw junction counts needed to reproduce the coverage pre-filter.</w:t>
      </w:r>
    </w:p>
    <w:p>
      <w:pPr>
        <w:pStyle w:val="BodyText"/>
        <w:jc w:val="both"/>
      </w:pPr>
      <w:r>
        <w:rPr>
          <w:b/>
          <w:bCs/>
        </w:rPr>
        <w:t>S4.</w:t>
      </w:r>
      <w:r>
        <w:rPr>
          <w:b w:val="0"/>
        </w:rPr>
        <w:t xml:space="preserve"> </w:t>
      </w:r>
      <w:r>
        <w:rPr>
          <w:b w:val="0"/>
        </w:rPr>
        <w:t xml:space="preserve">Matched permutation enrichment results, all datasets and panels.</w:t>
      </w:r>
    </w:p>
    <w:p>
      <w:pPr>
        <w:pStyle w:val="BodyText"/>
        <w:jc w:val="both"/>
      </w:pPr>
      <w:r>
        <w:rPr>
          <w:b/>
          <w:bCs/>
        </w:rPr>
        <w:t>S5.</w:t>
      </w:r>
      <w:r>
        <w:rPr>
          <w:b w:val="0"/>
        </w:rPr>
        <w:t xml:space="preserve"> </w:t>
      </w:r>
      <w:r>
        <w:rPr>
          <w:b w:val="0"/>
        </w:rPr>
        <w:t xml:space="preserve">Stringent-filter unannotated splicing candidates in every comparison, including the mapping-quality-filtered SH-SY5Y junction set produced with a different extractor.</w:t>
      </w:r>
    </w:p>
    <w:p>
      <w:pPr>
        <w:pStyle w:val="BodyText"/>
        <w:jc w:val="both"/>
      </w:pPr>
      <w:r>
        <w:rPr>
          <w:b/>
          <w:bCs/>
        </w:rPr>
        <w:t>S6.</w:t>
      </w:r>
      <w:r>
        <w:rPr>
          <w:b w:val="0"/>
        </w:rPr>
        <w:t xml:space="preserve"> </w:t>
      </w:r>
      <w:r>
        <w:rPr>
          <w:b w:val="0"/>
        </w:rPr>
        <w:t xml:space="preserve">Cryptic positive controls, the sixteen literature genes, and the dataset × gene recovery matrix for the human comparisons.</w:t>
      </w:r>
    </w:p>
    <w:p>
      <w:pPr>
        <w:pStyle w:val="BodyText"/>
        <w:jc w:val="both"/>
      </w:pPr>
      <w:r>
        <w:rPr>
          <w:b/>
          <w:bCs/>
        </w:rPr>
        <w:t>S7.</w:t>
      </w:r>
      <w:r>
        <w:rPr>
          <w:b w:val="0"/>
        </w:rPr>
        <w:t xml:space="preserve"> </w:t>
      </w:r>
      <w:r>
        <w:rPr>
          <w:b w:val="0"/>
        </w:rPr>
        <w:t xml:space="preserve">SOCE genes in the annotation-free analysis.</w:t>
      </w:r>
    </w:p>
    <w:p>
      <w:pPr>
        <w:pStyle w:val="BodyText"/>
        <w:jc w:val="both"/>
      </w:pPr>
      <w:r>
        <w:rPr>
          <w:b/>
          <w:bCs/>
        </w:rPr>
        <w:t>S8.</w:t>
      </w:r>
      <w:r>
        <w:rPr>
          <w:b w:val="0"/>
        </w:rPr>
        <w:t xml:space="preserve"> </w:t>
      </w:r>
      <w:r>
        <w:rPr>
          <w:b w:val="0"/>
        </w:rPr>
        <w:t xml:space="preserve">Cryptic</w:t>
      </w:r>
      <w:r>
        <w:rPr>
          <w:b w:val="0"/>
        </w:rPr>
        <w:t xml:space="preserve"> </w:t>
      </w:r>
      <w:r>
        <w:rPr>
          <w:b w:val="0"/>
          <w:i/>
          <w:iCs/>
        </w:rPr>
        <w:t xml:space="preserve">STMN2</w:t>
      </w:r>
      <w:r>
        <w:rPr>
          <w:b w:val="0"/>
        </w:rPr>
        <w:t xml:space="preserve"> </w:t>
      </w:r>
      <w:r>
        <w:rPr>
          <w:b w:val="0"/>
        </w:rPr>
        <w:t xml:space="preserve">PSI in ALS versus control by region (NYGC).</w:t>
      </w:r>
    </w:p>
    <w:p>
      <w:pPr>
        <w:pStyle w:val="BodyText"/>
        <w:jc w:val="both"/>
      </w:pPr>
      <w:r>
        <w:rPr>
          <w:b/>
          <w:bCs/>
        </w:rPr>
        <w:t>S9.</w:t>
      </w:r>
      <w:r>
        <w:rPr>
          <w:b w:val="0"/>
        </w:rPr>
        <w:t xml:space="preserve"> </w:t>
      </w:r>
      <w:r>
        <w:rPr>
          <w:b w:val="0"/>
        </w:rPr>
        <w:t xml:space="preserve">Correlations of both TDP-43 proxies with target genes within ALS samples; the</w:t>
      </w:r>
      <w:r>
        <w:rPr>
          <w:b w:val="0"/>
        </w:rPr>
        <w:t xml:space="preserve"> </w:t>
      </w:r>
      <w:r>
        <w:rPr>
          <w:rStyle w:val="VerbatimChar"/>
          <w:b w:val="0"/>
        </w:rPr>
        <w:t xml:space="preserve">in_correction_family</w:t>
      </w:r>
      <w:r>
        <w:rPr>
          <w:b w:val="0"/>
        </w:rPr>
        <w:t xml:space="preserve"> </w:t>
      </w:r>
      <w:r>
        <w:rPr>
          <w:b w:val="0"/>
        </w:rPr>
        <w:t xml:space="preserve">column marks the 220 informative tests over which the Benjamini–Hochberg correction was applied.</w:t>
      </w:r>
    </w:p>
    <w:p>
      <w:pPr>
        <w:pStyle w:val="BodyText"/>
        <w:jc w:val="both"/>
      </w:pPr>
      <w:r>
        <w:rPr>
          <w:b/>
          <w:bCs/>
        </w:rPr>
        <w:t>S10.</w:t>
      </w:r>
      <w:r>
        <w:rPr>
          <w:b w:val="0"/>
          <w:bCs/>
        </w:rPr>
        <w:t xml:space="preserve"> Descriptive TDP-43 × NMD-inhibition interactions for calcium-panel and reference genes: four condition estimates, mean, range and positive-condition count. No inferential p or q values are reported.</w:t>
      </w:r>
      <w:r>
        <w:rPr>
          <w:b w:val="0"/>
        </w:rPr>
        <w:t xml:space="preserve"/>
      </w:r>
      <w:r>
        <w:rPr>
          <w:b w:val="0"/>
        </w:rPr>
        <w:t xml:space="preserve"/>
      </w:r>
    </w:p>
    <w:p>
      <w:pPr>
        <w:pStyle w:val="BodyText"/>
      </w:pPr>
      <w:r>
        <w:rPr>
          <w:b/>
        </w:rPr>
        <w:t>S10b.</w:t>
      </w:r>
      <w:r>
        <w:rPr>
          <w:b w:val="0"/>
        </w:rPr>
        <w:t xml:space="preserve"> Descriptive calcium-panel and cryptic-splicing-reference summaries of the NMD interactions. The cryptic-splicing references are not a validated NMD-positive control panel.</w:t>
      </w:r>
    </w:p>
    <w:p>
      <w:pPr>
        <w:pStyle w:val="BodyText"/>
        <w:jc w:val="both"/>
      </w:pPr>
      <w:r>
        <w:rPr>
          <w:b/>
          <w:bCs/>
        </w:rPr>
        <w:t>S11.</w:t>
      </w:r>
      <w:r>
        <w:rPr>
          <w:b w:val="0"/>
          <w:bCs/>
        </w:rPr>
        <w:t xml:space="preserve">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rPr>
          <w:b w:val="0"/>
        </w:rPr>
        <w:t xml:space="preserve"/>
      </w:r>
      <w:r>
        <w:rPr>
          <w:b w:val="0"/>
        </w:rPr>
        <w:t xml:space="preserve"/>
      </w:r>
    </w:p>
    <w:p>
      <w:pPr>
        <w:pStyle w:val="BodyText"/>
        <w:jc w:val="both"/>
      </w:pPr>
      <w:r>
        <w:rPr>
          <w:b/>
          <w:bCs/>
        </w:rPr>
        <w:t>S12.</w:t>
      </w:r>
      <w:r>
        <w:rPr>
          <w:b w:val="0"/>
        </w:rPr>
        <w:t xml:space="preserve"> </w:t>
      </w:r>
      <w:r>
        <w:rPr>
          <w:b w:val="0"/>
        </w:rPr>
        <w:t xml:space="preserve">Machine-readable version of Table 4: cryptic event counts by comparison, with the FUS and TAF15 knockdown controls and the null-test ratios.</w:t>
      </w:r>
    </w:p>
    <w:p>
      <w:pPr>
        <w:pStyle w:val="BodyText"/>
        <w:jc w:val="both"/>
      </w:pPr>
      <w:r>
        <w:rPr>
          <w:b/>
          <w:bCs/>
        </w:rPr>
        <w:t>S13.</w:t>
      </w:r>
      <w:r>
        <w:rPr>
          <w:b w:val="0"/>
        </w:rPr>
        <w:t xml:space="preserve"> </w:t>
      </w:r>
      <w:r>
        <w:rPr>
          <w:b w:val="0"/>
          <w:i/>
          <w:iCs/>
        </w:rPr>
        <w:t xml:space="preserve">STIM2</w:t>
      </w:r>
      <w:r>
        <w:rPr>
          <w:b w:val="0"/>
        </w:rPr>
        <w:t xml:space="preserve"> </w:t>
      </w:r>
      <w:r>
        <w:rPr>
          <w:b w:val="0"/>
        </w:rPr>
        <w:t xml:space="preserve">SOAR exon measured at junction level, with both flanking junctions, in every comparison in which it was measurable.</w:t>
      </w:r>
    </w:p>
    <w:p>
      <w:pPr>
        <w:pStyle w:val="BodyText"/>
        <w:jc w:val="both"/>
      </w:pPr>
      <w:r>
        <w:rPr>
          <w:b/>
          <w:bCs/>
        </w:rPr>
        <w:t>S14.</w:t>
      </w:r>
      <w:r>
        <w:rPr>
          <w:b w:val="0"/>
        </w:rPr>
        <w:t xml:space="preserve"> </w:t>
      </w:r>
      <w:r>
        <w:rPr>
          <w:b w:val="0"/>
        </w:rPr>
        <w:t xml:space="preserve">Control-versus-control null test of the cryptic calling procedure, under the permissive definition and three stricter thresholds.</w:t>
      </w:r>
    </w:p>
    <w:p>
      <w:pPr>
        <w:pStyle w:val="BodyText"/>
        <w:jc w:val="both"/>
      </w:pPr>
      <w:r>
        <w:rPr>
          <w:b/>
          <w:bCs/>
        </w:rPr>
        <w:t>S15.</w:t>
      </w:r>
      <w:r>
        <w:rPr>
          <w:b w:val="0"/>
        </w:rPr>
        <w:t xml:space="preserve"> </w:t>
      </w:r>
      <w:r>
        <w:rPr>
          <w:b w:val="0"/>
        </w:rPr>
        <w:t xml:space="preserve">The same</w:t>
      </w:r>
      <w:r>
        <w:rPr>
          <w:b w:val="0"/>
        </w:rPr>
        <w:t xml:space="preserve"> </w:t>
      </w:r>
      <w:r>
        <w:rPr>
          <w:b w:val="0"/>
          <w:i/>
          <w:iCs/>
        </w:rPr>
        <w:t xml:space="preserve">STIM2.1</w:t>
      </w:r>
      <w:r>
        <w:rPr>
          <w:b w:val="0"/>
        </w:rPr>
        <w:t xml:space="preserve">/SOAR exon measured as an rMATS event, with per-replicate PSI and bootstrap intervals, across six datasets; this estimate is compared with S13 in Section 3.5.</w:t>
      </w:r>
    </w:p>
    <w:p>
      <w:pPr>
        <w:pStyle w:val="BodyText"/>
        <w:jc w:val="both"/>
      </w:pPr>
      <w:r>
        <w:rPr>
          <w:b/>
          <w:bCs/>
        </w:rPr>
        <w:t>S16.</w:t>
      </w:r>
      <w:r>
        <w:rPr>
          <w:b w:val="0"/>
        </w:rPr>
        <w:t xml:space="preserve"> </w:t>
      </w:r>
      <w:r>
        <w:rPr>
          <w:b w:val="0"/>
        </w:rPr>
        <w:t xml:space="preserve">Multiple sclerosis analysis, both cohorts, with myelin adjustment and the donor-level re-analysis.</w:t>
      </w:r>
    </w:p>
    <w:p>
      <w:pPr>
        <w:pStyle w:val="BodyText"/>
        <w:jc w:val="both"/>
      </w:pPr>
      <w:r>
        <w:rPr>
          <w:b/>
        </w:rPr>
        <w:t xml:space="preserve">S16b.</w:t>
      </w:r>
      <w:r>
        <w:rPr/>
        <w:t xml:space="preserve"> Donor-level re-analysis of multiple sclerosis: sample- and donor-level Cliff’s δ for </w:t>
      </w:r>
      <w:r>
        <w:rPr>
          <w:i/>
        </w:rPr>
        <w:t xml:space="preserve">TRPC1</w:t>
      </w:r>
      <w:r>
        <w:rPr/>
        <w:t xml:space="preserve"> and the myelin markers in normal-appearing white matter, and for the marker-adjusted comparison.</w:t>
      </w:r>
    </w:p>
    <w:p>
      <w:pPr>
        <w:pStyle w:val="BodyText"/>
        <w:jc w:val="both"/>
      </w:pPr>
      <w:r>
        <w:rPr>
          <w:b/>
          <w:bCs/>
        </w:rPr>
        <w:t>S17.</w:t>
      </w:r>
      <w:r>
        <w:rPr>
          <w:b w:val="0"/>
        </w:rPr>
        <w:t xml:space="preserve"> </w:t>
      </w:r>
      <w:r>
        <w:rPr>
          <w:b w:val="0"/>
        </w:rPr>
        <w:t xml:space="preserve">Accession list for every dataset analysed, with design, library type, run-level groups for knockdown experiments and group definitions for patient cohorts. The supplementary material also contains Figures S1–S9 and their legends.</w:t>
      </w:r>
    </w:p>
    <w:p>
      <w:pPr>
        <w:pStyle w:val="BodyText"/>
      </w:pPr>
      <w:r>
        <w:rPr>
          <w:b/>
        </w:rPr>
        <w:t>S18.</w:t>
      </w:r>
      <w:r>
        <w:rPr>
          <w:b w:val="0"/>
        </w:rPr>
        <w:t xml:space="preserve"> Cell-composition adjustment of </w:t>
      </w:r>
      <w:r>
        <w:rPr>
          <w:b w:val="0"/>
          <w:i/>
        </w:rPr>
        <w:t xml:space="preserve">TRPC1</w:t>
      </w:r>
      <w:r>
        <w:rPr>
          <w:b w:val="0"/>
        </w:rPr>
        <w:t xml:space="preserve"> in the NYGC cohort: Cliff’s δ for ALS and for the comparison group against the same controls, unadjusted and after regression on </w:t>
      </w:r>
      <w:r>
        <w:rPr>
          <w:b w:val="0"/>
          <w:i/>
        </w:rPr>
        <w:t xml:space="preserve">SNAP25</w:t>
      </w:r>
      <w:r>
        <w:rPr>
          <w:b w:val="0"/>
        </w:rPr>
        <w:t xml:space="preserve"> or </w:t>
      </w:r>
      <w:r>
        <w:rPr>
          <w:b w:val="0"/>
          <w:i/>
        </w:rPr>
        <w:t xml:space="preserve">RBFOX3</w:t>
      </w:r>
      <w:r>
        <w:rPr>
          <w:b w:val="0"/>
        </w:rPr>
        <w:t xml:space="preserve"> with or without </w:t>
      </w:r>
      <w:r>
        <w:rPr>
          <w:b w:val="0"/>
          <w:i/>
        </w:rPr>
        <w:t xml:space="preserve">GFAP</w:t>
      </w:r>
      <w:r>
        <w:rPr>
          <w:b w:val="0"/>
        </w:rPr>
        <w:t xml:space="preserve">, together with the differences in the marker genes themselves.</w:t>
      </w:r>
    </w:p>
    <w:p>
      <w:pPr>
        <w:pStyle w:val="BodyText"/>
      </w:pPr>
      <w:r>
        <w:rPr>
          <w:b/>
        </w:rPr>
        <w:t>S18b.</w:t>
      </w:r>
      <w:r>
        <w:rPr>
          <w:b w:val="0"/>
        </w:rPr>
        <w:t xml:space="preserve"> Cryptic </w:t>
      </w:r>
      <w:r>
        <w:rPr>
          <w:b w:val="0"/>
          <w:i/>
        </w:rPr>
        <w:t xml:space="preserve">STMN2</w:t>
      </w:r>
      <w:r>
        <w:rPr>
          <w:b w:val="0"/>
        </w:rPr>
        <w:t xml:space="preserve"> junction by group and region, on the samples of Table 5: samples and donors, samples with the junction detected, samples above 1% PSI, mean PSI, and the comparison group against controls. In cerebellum the junction was detected in three control samples and in no comparison-group sample; the resulting difference (δ = −0.08) is negligible.</w:t>
      </w:r>
    </w:p>
    <w:p>
      <w:pPr>
        <w:pStyle w:val="BodyText"/>
      </w:pPr>
      <w:r>
        <w:rPr>
          <w:b/>
        </w:rPr>
        <w:t>S18c.</w:t>
      </w:r>
      <w:r>
        <w:rPr>
          <w:b w:val="0"/>
        </w:rPr>
        <w:t xml:space="preserve"> Within the comparison group, Spearman and partial (on </w:t>
      </w:r>
      <w:r>
        <w:rPr>
          <w:b w:val="0"/>
          <w:i/>
        </w:rPr>
        <w:t xml:space="preserve">SNAP25</w:t>
      </w:r>
      <w:r>
        <w:rPr>
          <w:b w:val="0"/>
        </w:rPr>
        <w:t xml:space="preserve">) correlations of </w:t>
      </w:r>
      <w:r>
        <w:rPr>
          <w:b w:val="0"/>
          <w:i/>
        </w:rPr>
        <w:t xml:space="preserve">TRPC1</w:t>
      </w:r>
      <w:r>
        <w:rPr>
          <w:b w:val="0"/>
        </w:rPr>
        <w:t xml:space="preserve">, </w:t>
      </w:r>
      <w:r>
        <w:rPr>
          <w:b w:val="0"/>
          <w:i/>
        </w:rPr>
        <w:t xml:space="preserve">SARAF</w:t>
      </w:r>
      <w:r>
        <w:rPr>
          <w:b w:val="0"/>
        </w:rPr>
        <w:t xml:space="preserve">, </w:t>
      </w:r>
      <w:r>
        <w:rPr>
          <w:b w:val="0"/>
          <w:i/>
        </w:rPr>
        <w:t xml:space="preserve">CBARP</w:t>
      </w:r>
      <w:r>
        <w:rPr>
          <w:b w:val="0"/>
        </w:rPr>
        <w:t xml:space="preserve"> and </w:t>
      </w:r>
      <w:r>
        <w:rPr>
          <w:b w:val="0"/>
          <w:i/>
        </w:rPr>
        <w:t xml:space="preserve">SNAP25</w:t>
      </w:r>
      <w:r>
        <w:rPr>
          <w:b w:val="0"/>
        </w:rPr>
        <w:t xml:space="preserve"> with cryptic </w:t>
      </w:r>
      <w:r>
        <w:rPr>
          <w:b w:val="0"/>
          <w:i/>
        </w:rPr>
        <w:t xml:space="preserve">STMN2</w:t>
      </w:r>
      <w:r>
        <w:rPr>
          <w:b w:val="0"/>
        </w:rPr>
        <w:t xml:space="preserve"> PSI; and the Spearman correlation of </w:t>
      </w:r>
      <w:r>
        <w:rPr>
          <w:b w:val="0"/>
          <w:i/>
        </w:rPr>
        <w:t xml:space="preserve">TRPC1</w:t>
      </w:r>
      <w:r>
        <w:rPr>
          <w:b w:val="0"/>
        </w:rPr>
        <w:t xml:space="preserve"> with </w:t>
      </w:r>
      <w:r>
        <w:rPr>
          <w:b w:val="0"/>
          <w:i/>
        </w:rPr>
        <w:t xml:space="preserve">SNAP25</w:t>
      </w:r>
      <w:r>
        <w:rPr>
          <w:b w:val="0"/>
        </w:rPr>
        <w:t xml:space="preserve"> in every group and region.</w:t>
      </w:r>
    </w:p>
    <w:p>
      <w:pPr>
        <w:pStyle w:val="BodyText"/>
        <w:sectPr>
          <w:footerReference w:type="default" r:id="rIdPageNumberFooter"/>
          <w:footnotePr>
            <w:numRestart w:val="eachSect"/>
          </w:footnotePr>
          <w:type w:val="nextPage"/>
          <w:pgSz w:w="11906" w:h="16838"/>
          <w:pgMar w:top="1440" w:right="1440" w:bottom="1440" w:left="1440" w:header="708" w:footer="708" w:gutter="0"/>
        </w:sectPr>
      </w:pPr>
      <w:r>
        <w:rPr>
          <w:b/>
        </w:rPr>
        <w:t>S18d.</w:t>
      </w:r>
      <w:r>
        <w:rPr>
          <w:b w:val="0"/>
        </w:rPr>
        <w:t xml:space="preserve"> Donor-level NYGC sensitivity analysis: normalised expression averaged within donor and region before testing </w:t>
      </w:r>
      <w:r>
        <w:rPr>
          <w:b w:val="0"/>
          <w:i/>
        </w:rPr>
        <w:t xml:space="preserve">TRPC1</w:t>
      </w:r>
      <w:r>
        <w:rPr>
          <w:b w:val="0"/>
        </w:rPr>
        <w:t xml:space="preserve">, </w:t>
      </w:r>
      <w:r>
        <w:rPr>
          <w:b w:val="0"/>
          <w:i/>
        </w:rPr>
        <w:t xml:space="preserve">SARAF</w:t>
      </w:r>
      <w:r>
        <w:rPr>
          <w:b w:val="0"/>
        </w:rPr>
        <w:t xml:space="preserve"> and </w:t>
      </w:r>
      <w:r>
        <w:rPr>
          <w:b w:val="0"/>
          <w:i/>
        </w:rPr>
        <w:t xml:space="preserve">CBARP</w:t>
      </w:r>
      <w:r>
        <w:rPr>
          <w:b w:val="0"/>
        </w:rPr>
        <w:t xml:space="preserve"> and before fitting the </w:t>
      </w:r>
      <w:r>
        <w:rPr>
          <w:b w:val="0"/>
          <w:i/>
        </w:rPr>
        <w:t xml:space="preserve">TRPC1</w:t>
      </w:r>
      <w:r>
        <w:rPr>
          <w:b w:val="0"/>
        </w:rPr>
        <w:t xml:space="preserve"> marker-adjustment models. Correction families comprise regions within each group, gene and model.</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Ca²⁺-entry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on gene-level Salmon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rPr>
        <w:t xml:space="preserve">Table 3. Splicing events assessed for robustness in the primary SH-SY5Y model among the twelve core SOCE-pathway genes examined event by event (Methods 2.3), with bootstrap confidence intervals; all four are skipped-exon events. </w:t>
      </w:r>
      <w:r>
        <w:rPr>
          <w:b/>
          <w:i/>
        </w:rPr>
        <w:t xml:space="preserve">CBARP</w:t>
      </w:r>
      <w:r>
        <w:rPr>
          <w:b/>
        </w:rPr>
        <w:t xml:space="preserve"> belongs to the nineteen-gene SOCE-associated set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w:t>
      </w:r>
      <w:r>
        <w:rPr>
          <w:i/>
          <w:sz w:val="18"/>
          <w:szCs w:val="18"/>
        </w:rPr>
        <w:t xml:space="preserve">STIM1</w:t>
      </w:r>
      <w:r>
        <w:rPr>
          <w:sz w:val="18"/>
          <w:szCs w:val="18"/>
        </w:rPr>
        <w:t xml:space="preserve">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Stringent-filter calls (genes)</w:t>
            </w:r>
          </w:p>
        </w:tc>
        <w:tc>
          <w:tcPr>
            <w:tcW w:w="1099" w:type="dxa"/>
          </w:tcPr>
          <w:p>
            <w:pPr>
              <w:pStyle w:val="Compact"/>
              <w:suppressLineNumbers/>
              <w:spacing w:before="0" w:after="0" w:line="240" w:lineRule="auto"/>
              <w:jc w:val="right"/>
              <w:rPr>
                <w:sz w:val="18"/>
                <w:szCs w:val="18"/>
              </w:rPr>
            </w:pPr>
            <w:r>
              <w:rPr>
                <w:sz w:val="18"/>
                <w:szCs w:val="18"/>
              </w:rPr>
              <w:t>Positive controls, stringent filter</w:t>
            </w:r>
          </w:p>
        </w:tc>
        <w:tc>
          <w:tcPr>
            <w:tcW w:w="3628" w:type="dxa"/>
          </w:tcPr>
          <w:p>
            <w:pPr>
              <w:pStyle w:val="Compact"/>
              <w:suppressLineNumbers/>
              <w:spacing w:before="0" w:after="0" w:line="240" w:lineRule="auto"/>
              <w:jc w:val="left"/>
              <w:rPr>
                <w:sz w:val="18"/>
                <w:szCs w:val="18"/>
              </w:rPr>
            </w:pPr>
            <w:r>
              <w:rPr>
                <w:sz w:val="18"/>
                <w:szCs w:val="18"/>
              </w:rPr>
              <w:t>Positive-control genes, stringent filter</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SOCE-associated-set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sz w:val="18"/>
          <w:szCs w:val="18"/>
        </w:rPr>
        <w:t xml:space="preserve">Note.</w:t>
      </w:r>
      <w:r>
        <w:rPr>
          <w:sz w:val="18"/>
          <w:szCs w:val="18"/>
        </w:rPr>
        <w:t xml:space="preserve"> 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stringent-filter calls of the control-versus-control split and their ratio to the real calls; NA, fewer than four control replicates. In the Tier 1, SOCE-associated-set and positive-control columns NA means that no gene of that set carried a stringent-filter call, whereas in the null column it means that the dataset has fewer than four control replicates. The </w:t>
      </w:r>
      <w:r>
        <w:rPr>
          <w:i/>
          <w:sz w:val="18"/>
          <w:szCs w:val="18"/>
        </w:rPr>
        <w:t xml:space="preserve">CBARP</w:t>
      </w:r>
      <w:r>
        <w:rPr>
          <w:sz w:val="18"/>
          <w:szCs w:val="18"/>
        </w:rPr>
        <w:t xml:space="preserve"> junction of Section 3.5 is not counted for SH-SY5Y: the stringent-filter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