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figure-legends"/>
    <w:p>
      <w:pPr>
        <w:pStyle w:val="Heading1"/>
        <w:keepLines/>
        <w:spacing w:after="160" w:line="259" w:lineRule="auto"/>
      </w:pPr>
      <w:r>
        <w:rPr>
          <w:rFonts w:ascii="Arial" w:hAnsi="Arial"/>
          <w:sz w:val="30"/>
        </w:rPr>
        <w:t xml:space="preserve">Supplementary figure legends</w:t>
      </w:r>
    </w:p>
    <w:bookmarkEnd w:id="9"/>
    <w:p>
      <w:pPr>
        <w:pStyle w:val="FirstParagraph"/>
      </w:pPr>
      <w:r>
        <w:rPr>
          <w:rFonts w:ascii="Arial" w:hAnsi="Arial"/>
          <w:sz w:val="21"/>
        </w:rPr>
        <w:t>These legends are copied from supplementary/SUPPLEMENTARY_MATERIAL.docx (release v1.0.8) by code/build_supplementary_legends.py; the figure files are in figures/supplementary/.</w:t>
      </w:r>
    </w:p>
    <w:p>
      <w:pPr>
        <w:pStyle w:val="BodyText"/>
      </w:pPr>
      <w:r>
        <w:rPr>
          <w:rFonts w:ascii="Arial" w:hAnsi="Arial"/>
          <w:b/>
          <w:sz w:val="21"/>
        </w:rPr>
        <w:t>Supplementary Figure S1.</w:t>
      </w:r>
      <w:r>
        <w:rPr>
          <w:rFonts w:ascii="Arial" w:hAnsi="Arial"/>
          <w:sz w:val="21"/>
        </w:rPr>
        <w:t xml:space="preserve"> Example detection-power simulation for a three-versus-three design. Simulated power to detect a difference in PSI between two groups of three replicates at fixed depths of 10, 20, 50 and 100 informative reads per sample and true ΔPSI values from 0.05 to 0.30. Replicate PSI was drawn from a normal distribution around 0.5 ± ΔPSI/2 (between-replicate standard deviation 0.05, limited to 0.01–0.99), reads were sampled binomially, and the groups were compared with a two-sample t test (equal variances) at nominal p &lt; 0.05 without multiple-testing correction; 2,000 simulations per point. The simulation does not apply the rMATS model, FDR correction or |ΔPSI| threshold, so it illustrates the dependence of power on read depth and is not an estimate of rMATS power. The horizontal line marks 80% power and the vertical line marks |ΔPSI| = 0.10. Values are in source_data/power_simulation_S1.csv.</w:t>
      </w:r>
    </w:p>
    <w:p>
      <w:pPr>
        <w:pStyle w:val="BodyText"/>
      </w:pPr>
      <w:r>
        <w:rPr>
          <w:rFonts w:ascii="Arial" w:hAnsi="Arial"/>
          <w:b/>
          <w:sz w:val="21"/>
        </w:rPr>
        <w:t>Supplementary Figure S2.</w:t>
      </w:r>
      <w:r>
        <w:rPr>
          <w:rFonts w:ascii="Arial" w:hAnsi="Arial"/>
          <w:sz w:val="21"/>
        </w:rPr>
        <w:t xml:space="preserve"> Replicate-level assessment of a TRPC1 skipped-exon call. (A) Individual PSI values with inclusion/skipping junction counts. (B) Bootstrap distribution of ΔPSI from 20,000 resamples; the 95% interval includes zero. (C) Leave-one-out estimates; removing one control replicate reverses the sign. The event is presented as an example of a conventional call that fails the additional robustness criteria.</w:t>
      </w:r>
    </w:p>
    <w:p>
      <w:pPr>
        <w:pStyle w:val="BodyText"/>
      </w:pPr>
      <w:r>
        <w:rPr>
          <w:rFonts w:ascii="Arial" w:hAnsi="Arial"/>
          <w:b/>
          <w:sz w:val="21"/>
        </w:rPr>
        <w:t>Supplementary Figure S3.</w:t>
      </w:r>
      <w:r>
        <w:rPr>
          <w:rFonts w:ascii="Arial" w:hAnsi="Arial"/>
          <w:sz w:val="21"/>
        </w:rPr>
        <w:t xml:space="preserve"> CBARP exon 4–exon 5 region after TDP-43 depletion. (A) Sashimi plot of the public SH-SY5Y comparison (0 versus 75 ng/mL doxycycline, three libraries per group) and of iPSC colonies (four libraries per group), drawn from the alignments; the minus-strand gene is shown 5′→3′. Filled profiles are the mean per-base read depth of the libraries in each group, and each track has its own y-axis, so track heights do not allow a direct comparison of expression between groups or datasets. Arcs show split reads summed over the libraries of a group, with width proportional to the junction’s share of reads at its shared splice site. Reads were counted with the junction rules of Methods 2.5 (MAPQ ≥ 30, primary non-duplicate alignments, 8 bp anchors); the SH-SY5Y counts are those of the local-splicing-variation test in Section 3.5. Junction a is the canonical exon 4–exon 5 junction (chr19:1,235,146–1,235,500); b joins exon 4 to the annotated alternative 3′ splice site at 1,235,342 (1,235,343–1,235,500); c leaves the 31-nt segment through the unannotated donor at 1,235,312 (1,235,146–1,235,311). The shaded interval lies between the alternative and canonical 3′ splice sites. Transcript models are from GENCODE v47; the dashed model is the exon structure implied by junction c. (B) ΔPSI of the 32 coverage-qualified rMATS CBARP events in five datasets (Supplementary Table S3). The sign refers to each event’s rMATS-defined inclusion form, which differs between events.</w:t>
      </w:r>
    </w:p>
    <w:p>
      <w:pPr>
        <w:pStyle w:val="BodyText"/>
      </w:pPr>
      <w:r>
        <w:rPr>
          <w:rFonts w:ascii="Arial" w:hAnsi="Arial"/>
          <w:b/>
          <w:sz w:val="21"/>
        </w:rPr>
        <w:t>Supplementary Figure S4.</w:t>
      </w:r>
      <w:r>
        <w:rPr>
          <w:rFonts w:ascii="Arial" w:hAnsi="Arial"/>
          <w:sz w:val="21"/>
        </w:rPr>
        <w:t xml:space="preserve"> Positive controls and specificity of the annotation-free junction screen. (A) Literature cryptic-splicing positive controls recovered de novo in SH-SY5Y at 75 ng/mL doxycycline (stringent-filter calls, mapping-quality-filtered junction set), with knockdown/control junction-read counts. (B) Genes with a stringent-filter unannotated splicing change in each of four cumulative Ca²⁺ panels in the same call set; the numbers below the tiers are panel sizes, and the tiers are nested, not independent. (C) Number of literature positive-control genes recovered under the permissive definition in human comparisons (regtools junction set), including the FUS and TAF15 knockdown controls. Two controls after TDP-43 knockdown versus none after FUS or TAF15 knockdown in the same motor neurons is not a significant difference (Fisher’s exact test p = 0.48) and does not by itself establish specificity. Panels A–C use different thresholds and call sets, as stated in their headings. Mouse comparisons are omitted because the literature control events are human cryptic events.</w:t>
      </w:r>
    </w:p>
    <w:p>
      <w:pPr>
        <w:pStyle w:val="BodyText"/>
      </w:pPr>
      <w:r>
        <w:rPr>
          <w:rFonts w:ascii="Arial" w:hAnsi="Arial"/>
          <w:b/>
          <w:sz w:val="21"/>
        </w:rPr>
        <w:t>Supplementary Figure S5.</w:t>
      </w:r>
      <w:r>
        <w:rPr>
          <w:rFonts w:ascii="Arial" w:hAnsi="Arial"/>
          <w:sz w:val="21"/>
        </w:rPr>
        <w:t xml:space="preserve"> Descriptive TDP-43 × NMD-inhibition interactions for genes with a cryptic junction and other genes, with CBARP marked. Each gene’s value is the mean of four contrasts sharing the same baseline libraries. No inferential significance is assigned; TDP-43 status is confounded with sequencing batch.</w:t>
      </w:r>
    </w:p>
    <w:p>
      <w:pPr>
        <w:pStyle w:val="BodyText"/>
      </w:pPr>
      <w:r>
        <w:rPr>
          <w:rFonts w:ascii="Arial" w:hAnsi="Arial"/>
          <w:b/>
          <w:sz w:val="21"/>
        </w:rPr>
        <w:t>Supplementary Figure S6.</w:t>
      </w:r>
      <w:r>
        <w:rPr>
          <w:rFonts w:ascii="Arial" w:hAnsi="Arial"/>
          <w:sz w:val="21"/>
        </w:rPr>
        <w:t xml:space="preserve"> Coverage-based alternative-polyadenylation screen and STMN2 control. (A) Depth-qualified SH-SY5Y intronic and distal 3′UTR index changes (units with |Δ| ≥ 0.05) with bootstrap 95% intervals; shaded rows are cryptic positive-control genes and unshaded rows are genes of the Ca²⁺ panel. Unit numbers are ordinal and are not canonical intron numbers, and the indices measure coverage gradients, not poly(A) sites. The STIM2 intron 13 unit (†) contains the alternatively spliced STIM2 exon and is not independent evidence for a polyadenylation event. (B) Coverage at both ends of STMN2 intron 2 in each replicate after reference skips are excluded; the open marker is a measured zero at the 3′ end in one knockdown replicate.</w:t>
      </w:r>
    </w:p>
    <w:p>
      <w:pPr>
        <w:pStyle w:val="BodyText"/>
      </w:pPr>
      <w:r>
        <w:rPr>
          <w:rFonts w:ascii="Arial" w:hAnsi="Arial"/>
          <w:b/>
          <w:sz w:val="21"/>
        </w:rPr>
        <w:t>Supplementary Figure S7.</w:t>
      </w:r>
      <w:r>
        <w:rPr>
          <w:rFonts w:ascii="Arial" w:hAnsi="Arial"/>
          <w:sz w:val="21"/>
        </w:rPr>
        <w:t xml:space="preserve"> TRPC1 expression across neurological comparison cohorts. (A) Cliff’s δ (case minus control) for ALS regions, other neurological disorders, Alzheimer’s disease, Parkinson’s disease and multiple sclerosis (two cohorts), grouped by disease; the number of cases and controls, or donors, is printed at the right of each row. Dark bars mark Benjamini–Hochberg q &lt; 0.05 within each cohort’s comparison family and pale bars are not significant. (B) Re-analyses of the samples and donors of the GSE138614 multiple-sclerosis cohort (lesions, normal-appearing white matter and a comparison adjusted for MBP, PLP1 and GFAP); they use overlapping samples and are not independent replicates, and daggers mark uncorrected p &lt; 0.05 for the donor-level comparisons. Cohorts differ in tissue compartment, sample size and processing, so the display is descriptive across diseases and the values are not pooled.</w:t>
      </w:r>
    </w:p>
    <w:p>
      <w:pPr>
        <w:pStyle w:val="BodyText"/>
      </w:pPr>
      <w:r>
        <w:rPr>
          <w:rFonts w:ascii="Arial" w:hAnsi="Arial"/>
          <w:b/>
          <w:sz w:val="21"/>
        </w:rPr>
        <w:t>Supplementary Figure S8.</w:t>
      </w:r>
      <w:r>
        <w:rPr>
          <w:rFonts w:ascii="Arial" w:hAnsi="Arial"/>
          <w:sz w:val="21"/>
        </w:rPr>
        <w:t xml:space="preserve"> STMN2 expression and cryptic junction inclusion in ALS tissue. (A) Percentage of ALS and non-neurological control samples with a detected cryptic STMN2 junction (at least one cryptic-junction read), by region, among samples with at least 20 junction reads at the donor; sample counts for each group are printed in the labels. Supplementary Table S18b uses a different threshold (cryptic PSI &gt; 1%). (B, C) Within-ALS Spearman correlations of selected genes with total STMN2 expression and cryptic STMN2 PSI, respectively. Black dots mark q &lt; 0.05 across the stated correction family. The heatmaps use the same colour scale; exact coefficients and q values for all tested genes are in Supplementary Table S9. Total STMN2 expression also tracks neuronal content, whereas cryptic junction PSI more directly reflects TDP-43-dependent RNA processing.</w:t>
      </w:r>
    </w:p>
    <w:p>
      <w:pPr>
        <w:pStyle w:val="BodyText"/>
      </w:pPr>
      <w:r>
        <w:rPr>
          <w:rFonts w:ascii="Arial" w:hAnsi="Arial"/>
          <w:b/>
          <w:sz w:val="21"/>
        </w:rPr>
        <w:t>Supplementary Figure S9.</w:t>
      </w:r>
      <w:r>
        <w:rPr>
          <w:rFonts w:ascii="Arial" w:hAnsi="Arial"/>
          <w:sz w:val="21"/>
        </w:rPr>
        <w:t xml:space="preserve"> Original Fura-2 recordings. The two recordings shown on common axes in Figure 2A, exported without redrawing from the GraphPad Prism trace project, each at the axis range of its own recording: the y axis spans 0–3 in A (non-targeting shRNA control) and 0.5–1.5 in B (shTDP-43), and the time windows differ, so the two panels are not directly comparable by eye. CPA (10 µM) and CaCl₂ (nominally 1.5 mM) additions are indicated. The recordings illustrate individual wells; group amplitudes were calculated from the original Prism measurements.</w:t>
      </w:r>
    </w:p>
    <w:sectPr>
      <w:footnotePr>
        <w:numRestart w:val="eachSect"/>
      </w:footnotePr>
      <w:pgMar w:top="1008" w:bottom="1008"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2026-09-23T18:26:56Z</dcterms:created>
  <dcterms:modified xsi:type="dcterms:W3CDTF">2026-09-23T18:26:56Z</dcterms:modified>
</cp:coreProperties>
</file>

<file path=docProps/custom.xml><?xml version="1.0" encoding="utf-8"?>
<Properties xmlns="http://schemas.openxmlformats.org/officeDocument/2006/custom-properties" xmlns:vt="http://schemas.openxmlformats.org/officeDocument/2006/docPropsVTypes"/>
</file>