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Yasemin Eraç¹*</w:t>
      </w:r>
    </w:p>
    <w:p>
      <w:pPr>
        <w:pStyle w:val="BodyText"/>
      </w:pPr>
      <w:r>
        <w:t xml:space="preserve">¹ Department of Pharmacology, Faculty of Pharmacy,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occurs in about 97% of amyotrophic lateral sclerosis (ALS) and half of frontotemporal lobar degeneration cases. Ca²⁺ handling is disturbed in these diseases, but whether TDP-43 loss affects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(38 human and mouse libraries), testing candidate splicing events with coverage filters, bootstrap intervals, leave-one-out checks and independent tools. Annotation-free junction analysis covered eleven comparisons, including FUS and TAF15 knockdown controls; alternative polyadenylation (APA) and nonsense-mediated decay (NMD) were explored. In SH-SY5Y cells with shRNA knockdown we measured target mRNAs by RT-qPCR, cytosolic Ca²⁺ by Fura-2/AM and viability by WST-1. Candidate genes were examined in ALS post-mortem and other neurological cohorts, using junction-level cryptic</w:t>
      </w:r>
      <w:r>
        <w:t xml:space="preserve"> </w:t>
      </w:r>
      <w:r>
        <w:rPr>
          <w:i/>
          <w:iCs/>
        </w:rPr>
        <w:t xml:space="preserve">STMN2</w:t>
      </w:r>
      <w:r>
        <w:t xml:space="preserve"> </w:t>
      </w:r>
      <w:r>
        <w:t xml:space="preserve">inclusion as a marker of TDP-43 dysfunction.</w:t>
      </w:r>
    </w:p>
    <w:p>
      <w:pPr>
        <w:pStyle w:val="BodyText"/>
      </w:pPr>
      <w:r>
        <w:rPr>
          <w:b/>
          <w:bCs/>
        </w:rPr>
        <w:t xml:space="preserve">Results.</w:t>
      </w:r>
      <w:r>
        <w:t xml:space="preserve"> </w:t>
      </w:r>
      <w:r>
        <w:rPr>
          <w:i/>
          <w:iCs/>
        </w:rPr>
        <w:t xml:space="preserve">CBARP</w:t>
      </w:r>
      <w:r>
        <w:t xml:space="preserve"> </w:t>
      </w:r>
      <w:r>
        <w:t xml:space="preserve">was the most reproducible splicing candidate across species;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were supported in the primary model. After knockdown,</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SOCE fell from 1.542 ± 0.282 to 0.245 ± 0.083 Δ(F340/F380) (p = 0.0115; n = 3 per group) and endoplasmic reticulum (ER) Ca²⁺ release did not differ (p = 0.299). Composition-adjusted transcript summaries showed ORAI3 rising about four-fold and SARAF by about half, while the dominant ORAI2 and ATP2A2 fell modestly.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none in FUS or TAF15 knockdown, but found no high-confidence cryptic junction in the core SOCE panel of the primary model; APA and NMD analyses confirmed no SOCE-machinery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whereas</w:t>
      </w:r>
      <w:r>
        <w:t xml:space="preserve"> </w:t>
      </w:r>
      <w:r>
        <w:rPr>
          <w:i/>
          <w:iCs/>
        </w:rPr>
        <w:t xml:space="preserve">TRPC1</w:t>
      </w:r>
      <w:r>
        <w:t xml:space="preserve"> </w:t>
      </w:r>
      <w:r>
        <w:t xml:space="preserve">moved the other way in all comparison cohorts. Cryptic</w:t>
      </w:r>
      <w:r>
        <w:t xml:space="preserve"> </w:t>
      </w:r>
      <w:r>
        <w:rPr>
          <w:i/>
          <w:iCs/>
        </w:rPr>
        <w:t xml:space="preserve">STMN2</w:t>
      </w:r>
      <w:r>
        <w:t xml:space="preserve"> </w:t>
      </w:r>
      <w:r>
        <w:t xml:space="preserve">inclusion tracked TDP-43 pathology regionally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reduced SOCE and altered expression and splicing of calcium-regulatory genes in SH-SY5Y cells, but no single causal RNA switch was identified, and the ALS-tissue associations are not shown to arise from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priorities for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Vulnerable motor neurons are notable for low cytosolic Ca²⁺-buffering capacity (Grosskreutz et al., 2010), and Ca²⁺-dependent excitotoxicity, mitochondrial dysfunction and endoplasmic reticulum (ER) stress have all been implicated. Store-operated Ca²⁺ entry (SOCE) — the STIM1/ORAI-mediated influx triggered by ER store depletion (Putney, 2010; Prakriya and Lewis, 2015), with contributions from canonical transient receptor potential (TRPC) channels (Ambudkar et al., 2007) — is a principal route of Ca²⁺ entry in non-excitable and many excitable cells, and in a human neuroblastoma cell line it depends on TRPC1 (Selvaraj et al., 2012). STIMATE promotes the conformational switch that activates STIM1 (Jing et al., 2015); ORAI2 and ORAI3 can form heteromers with ORAI1 and restrain SOCE (Vaeth et al., 2017; Yoast et al., 2020), and SARAF facilitates slow Ca²⁺-dependent inactivation of SOCE (Palty et al., 2012) and, in SH-SY5Y cells, restrains store-independent arachidonate-regulated Ca²⁺ entry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induced pluripotent stem cell (iPSC) colonies (GSE230647; Hruska-Plochan et al., 2024), iPSC-derived motor neurons (GSE77702; Kapeli et al., 2016), mouse striatum (GSE27394/GSE27218; Polymenidou et al., 2011), and mouse C2C12 and NSC34 (GSE171714/SRP314028; Šušnjar et al., 2022) — 38 libraries in total, counting the pooled technical fragments of GSE27394 as one library per biological replicate. Two further comparisons, K562 total RNA and poly(A)+ mRNA (ENCODE ENCSR372DZW/ENCSR455TNF and ENCSR129RWD/ENCSR134JRE; Van Nostrand et al., 2020),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(Ling et al., 2015),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(Melamed et al., 2019; Ma et al., 2022), so the mouse comparisons have no equivalent literature positive control.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3.1,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3.3),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prediction of open reading frames, premature termination codons, sensitivity to nonsense-mediated decay (NMD) and protein-domain consequences.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(Xia et al., 2014).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(Sinha et al., 2025;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knockdown + NMD inhibition c) − log2(TDP-43 knockdown)]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 —</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New York Genome Center (NYGC) ALS Consortium/Target ALS collection (GSE153960; Prudencio et al., 2020; 1,641 samples with metadata after filtering). After a low-expression filter (counts per million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Srinivasan et al., 2020), Parkinson’s disease (GSE68719, prefrontal cortex, Brodmann area 9 [BA9], 29/44; Dumitriu et al., 2016) and multiple sclerosis (MS; GSE138614, white matter, 10 MS/5 control donors, 98 samples; Elkjaer et al., 2019; and GSE123496, five brain regions, 5/5 donors; Voskuhl et al., 2019). GSE138614 is white matter, whereas the ALS, Alzheimer’s and Parkinson’s comparisons are predominantly grey matter; the tissue compartment therefore differs and is not controlled for. For multiple sclerosis, TRPC1 contributes to SOCE in oligodendrocyte precursor cells (Paez et al., 2011),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pPr>
      <w:r>
        <w:t xml:space="preserve">2.13 RT-qPCR</w:t>
      </w:r>
    </w:p>
    <w:p>
      <w:pPr>
        <w:pStyle w:val="FirstParagraph"/>
      </w:pPr>
      <w:r>
        <w:t xml:space="preserve">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the single reference gene,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(Livak and Schmittgen, 2001), with non-transduced cells as the calibrator for TARDBP and the non-targeting shRNA control for the target genes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Non-targeting shRNA control and shTDP-43 cells were measured 72 h after transduction. Cells were seeded in 24-well plates at 40,000 cells per well; the three samples of each group came from three independent cultures.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on a cuvette-based QM8/2005 spectrofluorometer (Photon Technology International) with peristaltic perfusion, following the protocol of Selli et al. (2009).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24 h and 48 h after seeding with the WST-1 assay (Premix WST-1, Takara Bio, cat. no. MK400). Cells were seeded at 10,000 per well in 100 µL in 96-well plates; at each time point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the same time point. The experiment was performed three times; the values and statistics reported are those of one experiment (n = 4 wells per group).</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on log2-transformed relative expression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laboratory figure panel,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(Figure 1).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2).</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twelve SOCE-machinery genes examined event by event (Methods 2.3)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(Béguin et al., 2014),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82f7279699e5de22b979458987a108be8a28cb2"/>
    <w:p>
      <w:pPr>
        <w:pStyle w:val="Heading3"/>
      </w:pPr>
      <w:r>
        <w:t xml:space="preserve">3.3 Annotation-free analysis recovers cryptic exons genome-wide but finds no high-confidence event in the SOCE machinery of the primary model</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pPr>
      <w:r>
        <w:t xml:space="preserve">One specific mechanism could be tested directly. Inclusion of a 24-nucleotide exon in the STIM–ORAI activating region (SOAR) converts STIM2 into STIM2.1 (STIM2β), an isoform that inhibits SOCE (Miederer et al., 2015; Rana et al., 2015),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2"/>
    <w:bookmarkStart w:id="33" w:name="Xd92f2e170b5d70e8565fd0fd77df5724ed2003e"/>
    <w:p>
      <w:pPr>
        <w:pStyle w:val="Heading3"/>
      </w:pPr>
      <w:r>
        <w:t xml:space="preserve">3.5 A coverage-based APA screen yields candidate gradients but no confirmed APA event in the SOCE machinery</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 Supplementary Table S11).</w:t>
      </w:r>
    </w:p>
    <w:p>
      <w:pPr>
        <w:pStyle w:val="BodyText"/>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(Melamed et al., 2019),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pPr>
      <w:r>
        <w:t xml:space="preserve">Taken together, these analyses support altered calcium-related RNA profiles but do not establish whether any SOCE-machinery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pPr>
      <w:r>
        <w:t xml:space="preserve">We therefore regard enrichment of splicing changes in Ca²⁺ homeostasis genes as a tentative, motor-neuron-associated observation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Relative to the non-targeting shRNA control,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 from one of three independent experiments).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 Because a few abundant transcripts take a larger share of the TPM total in the knockdown libraries, unadjusted TPM places every gene about a quarter lower in knockdown than its true change; the values below are adjusted for library composition (Methods 2.10).</w:t>
      </w:r>
    </w:p>
    <w:p>
      <w:pPr>
        <w:pStyle w:val="BodyText"/>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four-fold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pPr>
      <w:r>
        <w:t xml:space="preserve">Two of these changes point towards reduced entry. ORAI2 and ORAI3 both form heteromers with ORAI1 and restrain SOCE — deleting either increases it (Vaeth et al., 2017; Yoast et al., 2020) —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(Palty et al., 2012), rose by about half (log2FC 0.55).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(Paez et al., 2011),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Regression of TRPC1 on MBP, PLP1 and GFAP attenuated the difference, which remained significant at sample level (δ = −0.562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(Figure 9A):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Figure 9B).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three cultures per group is a small sample, the result has not yet been reproduced with a second silencing reagent, and the measurement does not localise the defect exclusively to plasma-membrane influx. After adjustment for library composition, the transcript summaries show a larger ORAI pool whose composition shifts from</w:t>
      </w:r>
      <w:r>
        <w:t xml:space="preserve"> </w:t>
      </w:r>
      <w:r>
        <w:rPr>
          <w:i/>
          <w:iCs/>
        </w:rPr>
        <w:t xml:space="preserve">ORAI2</w:t>
      </w:r>
      <w:r>
        <w:t xml:space="preserve"> </w:t>
      </w:r>
      <w:r>
        <w:t xml:space="preserve">towards</w:t>
      </w:r>
      <w:r>
        <w:t xml:space="preserve"> </w:t>
      </w:r>
      <w:r>
        <w:rPr>
          <w:i/>
          <w:iCs/>
        </w:rPr>
        <w:t xml:space="preserve">ORAI3</w:t>
      </w:r>
      <w:r>
        <w:t xml:space="preserve">, modest decreases in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and an increase in</w:t>
      </w:r>
      <w:r>
        <w:t xml:space="preserve"> </w:t>
      </w:r>
      <w:r>
        <w:rPr>
          <w:i/>
          <w:iCs/>
        </w:rPr>
        <w:t xml:space="preserve">SARAF</w:t>
      </w:r>
      <w:r>
        <w:t xml:space="preserve">. The</w:t>
      </w:r>
      <w:r>
        <w:t xml:space="preserve"> </w:t>
      </w:r>
      <w:r>
        <w:rPr>
          <w:i/>
          <w:iCs/>
        </w:rPr>
        <w:t xml:space="preserve">ORAI3</w:t>
      </w:r>
      <w:r>
        <w:t xml:space="preserve"> </w:t>
      </w:r>
      <w:r>
        <w:t xml:space="preserve">and</w:t>
      </w:r>
      <w:r>
        <w:t xml:space="preserve"> </w:t>
      </w:r>
      <w:r>
        <w:rPr>
          <w:i/>
          <w:iCs/>
        </w:rPr>
        <w:t xml:space="preserve">SARAF</w:t>
      </w:r>
      <w:r>
        <w:t xml:space="preserve"> </w:t>
      </w:r>
      <w:r>
        <w:t xml:space="preserve">increases are the changes most directly compatible with reduced entry (Palty et al., 2012; Yoast et al., 2020), whereas the</w:t>
      </w:r>
      <w:r>
        <w:t xml:space="preserve"> </w:t>
      </w:r>
      <w:r>
        <w:rPr>
          <w:i/>
          <w:iCs/>
        </w:rPr>
        <w:t xml:space="preserve">ORAI2</w:t>
      </w:r>
      <w:r>
        <w:t xml:space="preserve"> </w:t>
      </w:r>
      <w:r>
        <w:t xml:space="preserve">decrease would be expected to act in the opposite direction (Vaeth et al., 2017). These patterns are compatible with a compositional contribution, but TPM is not an absolute measurement and protein abundance, membrane localisation and complex assembly were not measured. ORAI2 and MCUB also have context-dependent regulatory roles, so none of these RNA changes can be assigned a functional direction in these cells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In the coverage-based APA analysis the</w:t>
      </w:r>
      <w:r>
        <w:t xml:space="preserve"> </w:t>
      </w:r>
      <w:r>
        <w:rPr>
          <w:i/>
          <w:iCs/>
        </w:rPr>
        <w:t xml:space="preserve">STMN2</w:t>
      </w:r>
      <w:r>
        <w:t xml:space="preserve"> </w:t>
      </w:r>
      <w:r>
        <w:t xml:space="preserve">positive control shifted only moderately in the primary model but clearly in the iPSC-derived motor neurons (intronic index +0.249), where the SOCE-machinery genes nonetheless moved little; the conservative NMD analysis did not yield a genome-wide significant gene. These data therefore do not establish direct or indirect targeting of the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inhibitory STIM2.1/STIM2β isoform (Miederer et al., 2015; Rana et al., 2015) was higher in knockdown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A</w:t>
      </w:r>
      <w:r>
        <w:t xml:space="preserve"> </w:t>
      </w:r>
      <w:r>
        <w:rPr>
          <w:i/>
          <w:iCs/>
        </w:rPr>
        <w:t xml:space="preserve">TRPC1</w:t>
      </w:r>
      <w:r>
        <w:t xml:space="preserve"> </w:t>
      </w:r>
      <w:r>
        <w:t xml:space="preserve">event that passed the conventional thresholds failed every robustness check we applied to it (Figure 2).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and left only a nominal signal, uncorrected for the number of tests,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 Parkinson’s disease decrease agrees with the lower TRPC1 levels reported in brain lysates from patients (Selvaraj et al., 2012).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With gene-level</w:t>
      </w:r>
      <w:r>
        <w:t xml:space="preserve"> </w:t>
      </w:r>
      <w:r>
        <w:rPr>
          <w:i/>
          <w:iCs/>
        </w:rPr>
        <w:t xml:space="preserve">STMN2</w:t>
      </w:r>
      <w:r>
        <w:t xml:space="preserve"> </w:t>
      </w:r>
      <w:r>
        <w:t xml:space="preserve">as the proxy,</w:t>
      </w:r>
      <w:r>
        <w:t xml:space="preserve"> </w:t>
      </w:r>
      <w:r>
        <w:rPr>
          <w:i/>
          <w:iCs/>
        </w:rPr>
        <w:t xml:space="preserve">TRPC1</w:t>
      </w:r>
      <w:r>
        <w:t xml:space="preserve"> </w:t>
      </w:r>
      <w:r>
        <w:t xml:space="preserve">correlates positively in ten of the eleven regions (seven with q &lt; 0.05; Supplementary Table S9),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are not offered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independent cultures per group for the Ca²⁺ measurements and four wells for viability; the number of biological replicates is small, and the phenotype requires replication with a second silencing reagent and a TDP-43 rescue. TDP-43 knockdown was confirmed at the mRNA level only; TDP-43 protein, and the protein levels, membrane localisation and complex assembly of candidate genes, were not measured. Relative expression rests on a single reference gene (GAPDH) and on the assumption of the 2</w:t>
      </w:r>
      <w:r>
        <w:rPr>
          <w:vertAlign w:val="superscript"/>
        </w:rPr>
        <w:t xml:space="preserve">−ΔΔCt</w:t>
      </w:r>
      <w:r>
        <w:t xml:space="preserve"> </w:t>
      </w:r>
      <w:r>
        <w:t xml:space="preserve">method that target and reference genes amplify with equal efficiency. The WST-1 assay does not separate proliferation from cell death, and the opposite directions at 24 h and 48 h show that it is not a direct viability measure. The experiment was performed three times, but the statistics reported compare the four wells of one experiment, so the very small p values reflect well-to-well rather than between-experiment variation; the reduced signal at 48 h also leaves open whether impaired cell health contributes to the lower SOCE response. Transcript-family summaries are length- and composition-adjusted short-read estimates, not absolute stoichiometry.</w:t>
      </w:r>
    </w:p>
    <w:p>
      <w:pPr>
        <w:pStyle w:val="BodyText"/>
      </w:pPr>
      <w:r>
        <w:t xml:space="preserve">In the primary RNA-seq model, knockdown is induced with doxycycline and compared with untreated cells of the same line; GSE296712 contains no doxycycline-treated control without TDP-43 knockdown. Doxycycline inhibits mitochondrial translation and can alter nuclear gene expression and metabolism in cultured cells (Moullan et al., 2015), so part of the SH-SY5Y transcript response may reflect the inducer rather than TDP-43 loss, and the mitochondrial Ca²⁺-uptake family is the most exposed to this confound. The laboratory knockdown uses no doxycycline and is compared with a non-targeting shRNA control, and the four RT-qPCR targets changed there in the same direction as in the RNA-seq data; the iPSC-colony comparison is likewise made against a control knockdown.</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transcription on the antisense strand also changes —</w:t>
      </w:r>
      <w:r>
        <w:t xml:space="preserve"> </w:t>
      </w:r>
      <w:r>
        <w:rPr>
          <w:i/>
          <w:iCs/>
        </w:rPr>
        <w:t xml:space="preserve">CBARP-DT</w:t>
      </w:r>
      <w:r>
        <w:t xml:space="preserve"> </w:t>
      </w:r>
      <w:r>
        <w:t xml:space="preserve">itself showed significant isoform switching in SH-SY5Y (IsoformSwitchAnalyzeR gene-level q = 0.008) — so for any single junction-level call at an antisense locus the gene assignment should be treated as provisional.</w:t>
      </w:r>
    </w:p>
    <w:p>
      <w:pPr>
        <w:pStyle w:val="BodyText"/>
      </w:pPr>
      <w:r>
        <w:t xml:space="preserve">The alternative-polyadenylation analysis is coverage-based and does not localise poly(A) sites; 3′-end sequencing would be required for that purpose. In SH-SY5Y the</w:t>
      </w:r>
      <w:r>
        <w:t xml:space="preserve"> </w:t>
      </w:r>
      <w:r>
        <w:rPr>
          <w:i/>
          <w:iCs/>
        </w:rPr>
        <w:t xml:space="preserve">STMN2</w:t>
      </w:r>
      <w:r>
        <w:t xml:space="preserve"> </w:t>
      </w:r>
      <w:r>
        <w:t xml:space="preserve">positive control shifted only moderately (+0.145, bootstrap 95% CI +0.085 to +0.205) and falls just below the pre-specified depth filter, so the negative result in that model rests on an assay whose sensitivity could not be demonstrated there. Of the four comparisons in which the analysis could be run, the assay’s own positive control is informative only in the iPSC-derived motor neurons, since it is attenuated in SH-SY5Y and the two mouse lines have no conserved control. The iPSC-derived motor neurons have only two replicates per group, so the interval around their working control is coarse. The analysis identified one moderate candidate gradient in SH-SY5Y, in</w:t>
      </w:r>
      <w:r>
        <w:t xml:space="preserve"> </w:t>
      </w:r>
      <w:r>
        <w:rPr>
          <w:i/>
          <w:iCs/>
        </w:rPr>
        <w:t xml:space="preserve">STIM1</w:t>
      </w:r>
      <w:r>
        <w:t xml:space="preserve"> </w:t>
      </w:r>
      <w:r>
        <w:t xml:space="preserve">intron 17, which lies next to an alternatively included</w:t>
      </w:r>
      <w:r>
        <w:t xml:space="preserve"> </w:t>
      </w:r>
      <w:r>
        <w:rPr>
          <w:i/>
          <w:iCs/>
        </w:rPr>
        <w:t xml:space="preserve">STIM1</w:t>
      </w:r>
      <w:r>
        <w:t xml:space="preserve"> </w:t>
      </w:r>
      <w:r>
        <w:t xml:space="preserve">exon and was not confirmed in another comparison, and no large APA shift in the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pPr>
      <w:r>
        <w:t xml:space="preserve">Moullan N, Mouchiroud L, Wang X, et al. Tetracyclines disturb mitochondrial function across eukaryotic models: a call for caution in biomedical research.</w:t>
      </w:r>
      <w:r>
        <w:t xml:space="preserve"> </w:t>
      </w:r>
      <w:r>
        <w:rPr>
          <w:i/>
          <w:iCs/>
        </w:rPr>
        <w:t xml:space="preserve">Cell Rep</w:t>
      </w:r>
      <w:r>
        <w:t xml:space="preserve">. 2015;10:1681–1691. doi:10.1016/j.celrep.2015.02.034</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2.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3. SOCE splicing candidates in SH-SY5Y</w:t>
      </w:r>
      <w:r>
        <w:t xml:space="preserve"> </w:t>
      </w:r>
      <w:r>
        <w:t xml:space="preserve">with replicate-level bootstrap 95% confidence intervals (10,000 resamples). Green marks intervals that exclude zero; the</w:t>
      </w:r>
      <w:r>
        <w:t xml:space="preserve"> </w:t>
      </w:r>
      <w:r>
        <w:rPr>
          <w:i/>
          <w:iCs/>
        </w:rPr>
        <w:t xml:space="preserve">STIM1</w:t>
      </w:r>
      <w:r>
        <w:t xml:space="preserve"> </w:t>
      </w:r>
      <w:r>
        <w:t xml:space="preserve">event (grey) and the</w:t>
      </w:r>
      <w:r>
        <w:t xml:space="preserve"> </w:t>
      </w:r>
      <w:r>
        <w:rPr>
          <w:i/>
          <w:iCs/>
        </w:rPr>
        <w:t xml:space="preserve">TRPC1</w:t>
      </w:r>
      <w:r>
        <w:t xml:space="preserve"> </w:t>
      </w:r>
      <w:r>
        <w:t xml:space="preserve">event of Figure 2 (red; 20,000 resamples) are shown for comparison.</w:t>
      </w:r>
    </w:p>
    <w:p>
      <w:pPr>
        <w:pStyle w:val="BodyText"/>
      </w:pPr>
      <w:r>
        <w:rPr>
          <w:b/>
          <w:bCs/>
        </w:rPr>
        <w:t xml:space="preserve">Figure 4. Annotation-free junction analysis and exploratory NMD interaction.</w:t>
      </w:r>
      <w:r>
        <w:t xml:space="preserve"> </w:t>
      </w:r>
      <w:r>
        <w:t xml:space="preserve">(A) Cryptic junctions of the literature positive controls recovered de novo in SH-SY5Y (75 ng/mL doxycycline, mapping-quality-filtered junction set), with knockdown and control read counts. (B) Number of genes in each of the four cumulative Ca²⁺ panels that carry a high-confidence unannotated splicing change in the same comparison.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coverage-based alternative-polyadenylation analysis.</w:t>
      </w:r>
      <w:r>
        <w:t xml:space="preserve"> </w:t>
      </w:r>
      <w:r>
        <w:t xml:space="preserve">(A) Positive-control genes recovered in each human comparison under the permissive definition, with FUS and TAF15 knockdown as controls; the mouse comparisons are omitted because the literature controls are human cryptic events that are not conserved in mouse. (B) Depth-qualified intronic and distal 3′-terminal usage estimates in SH-SY5Y; the</w:t>
      </w:r>
      <w:r>
        <w:t xml:space="preserve"> </w:t>
      </w:r>
      <w:r>
        <w:rPr>
          <w:i/>
          <w:iCs/>
        </w:rPr>
        <w:t xml:space="preserve">STIM2</w:t>
      </w:r>
      <w:r>
        <w:t xml:space="preserve"> </w:t>
      </w:r>
      <w:r>
        <w:t xml:space="preserve">intron 13 unit (†) contains the alternatively spliced</w:t>
      </w:r>
      <w:r>
        <w:t xml:space="preserve"> </w:t>
      </w:r>
      <w:r>
        <w:rPr>
          <w:i/>
          <w:iCs/>
        </w:rPr>
        <w:t xml:space="preserve">STIM2</w:t>
      </w:r>
      <w:r>
        <w:t xml:space="preserve"> </w:t>
      </w:r>
      <w:r>
        <w:t xml:space="preserve">exon of Table 2 and reports that splicing change. (C) Coverage at the two ends of</w:t>
      </w:r>
      <w:r>
        <w:t xml:space="preserve"> </w:t>
      </w:r>
      <w:r>
        <w:rPr>
          <w:i/>
          <w:iCs/>
        </w:rPr>
        <w:t xml:space="preserve">STMN2</w:t>
      </w:r>
      <w:r>
        <w:t xml:space="preserve"> </w:t>
      </w:r>
      <w:r>
        <w:t xml:space="preserve">intron 2 (the canonical intron 1, which contains cryptic exon 2a)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w:t>
      </w:r>
      <w:r>
        <w:rPr>
          <w:vertAlign w:val="superscript"/>
        </w:rPr>
        <w:t xml:space="preserve">−ΔΔCt</w:t>
      </w:r>
      <w:r>
        <w:t xml:space="preserve">, n = 4; one-way ANOVA on log2 values with Tukey’s test). (B) Relative mRNA of the four SOCE-associated targets in shTDP-43 cells, relative to the non-targeting shRNA control (n = 4; two-tailed t-tests). (C) WST-1 viability at 24 h and 48 h, as a percentage of the non-targeting shRNA control (n = 4 wells from one of three independent experiments). (D) Representative Fura-2 traces for a non-targeting shRNA control and a shTDP-43 sample: SERCA inhibition with 10 µM cyclopiazonic acid in Ca²⁺-free medium, then re-addition of 1.5 mM CaCl₂; the two traces are shown on different vertical scales and time windows, and the group comparison is in (E). (E) Group data for the two phases, as Δ(F340/F380) relative to the preceding baseline (n = 3 independent cultures per group).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adjusted for library composition (Methods 2.10), per family member in control and TDP-43 knockdown cells for the ORAI, SERCA, STIM, SOCE-regulator and mitochondrial-uptake families, with the net change of each family pool; the TRPC and PMCA families are given in Table 4. Asterisks mark the RT-qPCR targets.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(sample and donor level) and myelin-adjusted analyses. Asterisks mark Benjamini–Hochberg q &lt; 0.05 or, for the donor-level normal-appearing white matter and myelin-adjusted tests, uncorrected p &lt; 0.05;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p>
    <w:p>
      <w:pPr>
        <w:pStyle w:val="BodyText"/>
      </w:pPr>
      <w:r>
        <w:rPr>
          <w:b/>
          <w:bCs/>
        </w:rPr>
        <w:t xml:space="preserve">S2.</w:t>
      </w:r>
      <w:r>
        <w:t xml:space="preserve"> </w:t>
      </w:r>
      <w:r>
        <w:t xml:space="preserve">Ca²⁺ gene panels (four cumulative sets).</w:t>
      </w:r>
    </w:p>
    <w:p>
      <w:pPr>
        <w:pStyle w:val="BodyText"/>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pPr>
      <w:r>
        <w:rPr>
          <w:b/>
          <w:bCs/>
        </w:rPr>
        <w:t xml:space="preserve">S4.</w:t>
      </w:r>
      <w:r>
        <w:t xml:space="preserve"> </w:t>
      </w:r>
      <w:r>
        <w:t xml:space="preserve">Matched permutation enrichment results, all datasets and panels.</w:t>
      </w:r>
    </w:p>
    <w:p>
      <w:pPr>
        <w:pStyle w:val="BodyText"/>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pPr>
      <w:r>
        <w:rPr>
          <w:b/>
          <w:bCs/>
        </w:rPr>
        <w:t xml:space="preserve">S6.</w:t>
      </w:r>
      <w:r>
        <w:t xml:space="preserve"> </w:t>
      </w:r>
      <w:r>
        <w:t xml:space="preserve">Cryptic positive controls, the sixteen literature genes, and the dataset × gene recovery matrix for the human comparisons.</w:t>
      </w:r>
    </w:p>
    <w:p>
      <w:pPr>
        <w:pStyle w:val="BodyText"/>
      </w:pPr>
      <w:r>
        <w:rPr>
          <w:b/>
          <w:bCs/>
        </w:rPr>
        <w:t xml:space="preserve">S7.</w:t>
      </w:r>
      <w:r>
        <w:t xml:space="preserve"> </w:t>
      </w:r>
      <w:r>
        <w:t xml:space="preserve">SOCE genes in the annotation-free analysis.</w:t>
      </w:r>
    </w:p>
    <w:p>
      <w:pPr>
        <w:pStyle w:val="BodyText"/>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pPr>
      <w:r>
        <w:rPr>
          <w:b/>
          <w:bCs/>
        </w:rPr>
        <w:t xml:space="preserve">S10.</w:t>
      </w:r>
      <w:r>
        <w:t xml:space="preserve"> </w:t>
      </w:r>
      <w:r>
        <w:t xml:space="preserve">Nonsense-mediated decay interaction for the SOCE panel and the panel-level tests, four-condition analysis.</w:t>
      </w:r>
    </w:p>
    <w:p>
      <w:pPr>
        <w:pStyle w:val="BodyText"/>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pPr>
      <w:r>
        <w:rPr>
          <w:b/>
          <w:bCs/>
        </w:rPr>
        <w:t xml:space="preserve">S14.</w:t>
      </w:r>
      <w:r>
        <w:t xml:space="preserve"> </w:t>
      </w:r>
      <w:r>
        <w:t xml:space="preserve">Control-versus-control null test of the cryptic calling procedure, under the permissive definition and three stricter thresholds.</w:t>
      </w:r>
    </w:p>
    <w:p>
      <w:pPr>
        <w:pStyle w:val="BodyText"/>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p>
    <w:p>
      <w:pPr>
        <w:pStyle w:val="BodyText"/>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lnNumType w:countBy="1" w:distance="283" w:restart="continuous"/>
        </w:sectPr>
      </w:pPr>
      <w:r>
        <w:rPr>
          <w:b/>
          <w:bCs/>
        </w:rPr>
        <w:t xml:space="preserve">S17.</w:t>
      </w:r>
      <w:r>
        <w:t xml:space="preserve"> </w:t>
      </w:r>
      <w:r>
        <w:t xml:space="preserve">Accession list for every dataset analysed, with design, library type and sample-to-group assignment.</w:t>
      </w:r>
    </w:p>
    <w:bookmarkEnd w:id="46"/>
    <w:bookmarkStart w:id="47" w:name="tables"/>
    <w:p>
      <w:pPr>
        <w:pStyle w:val="Heading2"/>
        <w:suppressLineNumbers/>
      </w:pPr>
      <w:r>
        <w:t xml:space="preserve">Tables</w:t>
      </w:r>
    </w:p>
    <w:p>
      <w:pPr>
        <w:pStyle w:val="FirstParagraph"/>
        <w:keepNext/>
        <w:suppressLineNumbers/>
        <w:spacing w:before="0" w:after="120" w:line="240" w:lineRule="auto"/>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 fewer than four control replicates. iPSC-MN, iPSC-derived motor neurons; KD, knockdown.</w:t>
      </w:r>
    </w:p>
    <w:p>
      <w:pPr>
        <w:pStyle w:val="BodyText"/>
        <w:keepNext/>
        <w:suppressLineNumbers/>
        <w:spacing w:before="0" w:after="120" w:line="240" w:lineRule="auto"/>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 not computed; CRAC, Ca²⁺ release-activated Ca²⁺.</w:t>
      </w:r>
    </w:p>
    <w:p>
      <w:pPr>
        <w:pStyle w:val="BodyText"/>
        <w:keepNext/>
        <w:suppressLineNumbers/>
        <w:spacing w:before="0" w:after="120" w:line="240" w:lineRule="auto"/>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 not tested. n counts samples, or donors in the donor-level row. The NYGC comparisons of each region share its non-neurological controls. BA9, Brodmann area 9; NYGC, New York Genome Center.</w:t>
      </w:r>
    </w:p>
    <w:bookmarkEnd w:id="47"/>
    <w:bookmarkEnd w:id="48"/>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PageNumber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2026-09-23T06:51:51Z</dcterms:created>
  <dcterms:modified xsi:type="dcterms:W3CDTF">2026-09-23T06:51:51Z</dcterms:modified>
</cp:coreProperties>
</file>

<file path=docProps/custom.xml><?xml version="1.0" encoding="utf-8"?>
<Properties xmlns="http://schemas.openxmlformats.org/officeDocument/2006/custom-properties" xmlns:vt="http://schemas.openxmlformats.org/officeDocument/2006/docPropsVTypes"/>
</file>