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r>
        <w:t xml:space="preserve"> </w:t>
      </w:r>
      <w:r>
        <w:t xml:space="preserve">² Department of Bioengineering / Institute of Natural and Applied Sciences, Ege University, İzmir, Türkiye</w:t>
      </w:r>
    </w:p>
    <w:p>
      <w:pPr>
        <w:pStyle w:val="BodyText"/>
      </w:pPr>
      <w:r>
        <w:t xml:space="preserve">* Correspondence: yasemin.erac@ege.edu.tr</w:t>
      </w:r>
    </w:p>
    <w:p>
      <w:pPr>
        <w:pStyle w:val="BlockText"/>
      </w:pPr>
      <w:r>
        <w:rPr>
          <w:b/>
          <w:bCs/>
        </w:rPr>
        <w:t xml:space="preserve">Submission note:</w:t>
      </w:r>
      <w:r>
        <w:t xml:space="preserve"> </w:t>
      </w:r>
      <w:r>
        <w:t xml:space="preserve">author order, affiliations, ethics/biosafety wording and repository links must be confirmed before submission. The reference list is not yet complete: the Introduction and Methods still require citations to the primary literature and to the software used. Figure 6 and Supplementary Table S1 must be assembled from the laboratory source data, and the abstract must be trimmed to the target journal’s word limit.</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Length-corrected family summaries showed the dominant ORAI, SERCA and mitochondrial-uptake members falling while minor members rose.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exploratory APA and NMD analyses added no confirmed core-SOCE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can modulate ORAI1-dependent SOCE in a context-dependent manner (Vaeth et al., 2017), and SARAF facilitates slow Ca²⁺-dependent inactivation of SOCE (Palty et al., 2012), including in SH-SY5Y cells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open raw reads, and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were used for all downstream annotation and counting.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candidate events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complete GENCODE v47 transcript-to-gene map; the basic annotation used in the first version of this analysis covers only 157,588 of those transcripts and discards 26% of the transcripts per million, so all gene-level Salmon summaries reported here were recomputed with the complete map.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the null produced as many calls as the real comparison in iPSC colonies and twice as many in K562 total RNA,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Two 500 bp windows were placed at the 5′ and 3′ ends of every intron of at least 1,200 bp (50 bp buffer from each splice site), and the terminal exon of each gene of at least 400 bp was split into proximal and distal halves, both in the direction of transcription.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The corrected analysis was rerun for the primary SH-SY5Y model on the positive-control and core SOCE target set; full-panel results are reported only where all input windows passed the depth filter. Equivalent windows were built for 687 orthologous mouse genes, and the corrected analysis was run in all four knockdown comparisons whose alignments were available: SH-SY5Y, iPSC-derived motor neurons, C2C12 and NSC34.</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95% confidence intervals obtained by complete enumeration of all 3⁶ = 729 replicate combinations;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by a sensitivity analysis using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Symbols were harmonised to HGNC/MGI and orthology verified via Ensembl Compara.</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For each functional family (STIM, ORAI, SERCA, TRPC, SOCE regulators, mitochondrial Ca²⁺ uptake, PMCA) we computed each member’s relative share of the family total in control cells and the change in its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97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Donor identity was not modelled in the lesion-type and normal-appearing white matter analyses, in which several samples come from the same donor; their p values are therefore optimistic.</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a single culture plate and are therefore not independent culture days.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panel of Figure 6,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1).</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Ca²⁺ panels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events meeting both threshold and coverage criteria were present in five of six datasets — iPSC colonies, mouse striatum, SH-SY5Y, C2C12 and NSC34 — with the same event architecture at the orthologous human chr19 and mouse chr10 loci and effect sizes of 0.15 to 0.74 supported by hundreds to thousands of reads.</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e37af7e8a9925510270676a4051bc9fd3705fd3"/>
    <w:p>
      <w:pPr>
        <w:pStyle w:val="Heading3"/>
      </w:pPr>
      <w:r>
        <w:t xml:space="preserve">3.3 Annotation-free analysis recovers cryptic exons genome-wide but does not detect high-confidence events in the core SOCE machinery</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Twelve of the sixteen literature positive controls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These ratios are not calibrated false-discovery rates — they are the ratio of two call counts from analyses with different sample sizes and different numbers of tests — but they show that call counts are not interpretable on their own. In SH-SY5Y, iPSC-derived motor neurons and K562 poly(A)+ mRNA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w:t>
      </w:r>
      <w:r>
        <w:t xml:space="preserve"> </w:t>
      </w:r>
      <w:r>
        <w:rPr>
          <w:b/>
          <w:bCs/>
        </w:rPr>
        <w:t xml:space="preserve">No gene of the core SOCE/TRP panel (Tier 1, n = 51) carried a high-confidence unannotated splicing change in ten of the eleven comparisons</w:t>
      </w:r>
      <w:r>
        <w:t xml:space="preserve">, including the primary SH-SY5Y model at both doses.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second junction set), and one arm of the</w:t>
      </w:r>
      <w:r>
        <w:t xml:space="preserve"> </w:t>
      </w:r>
      <w:r>
        <w:rPr>
          <w:i/>
          <w:iCs/>
        </w:rPr>
        <w:t xml:space="preserve">CBARP</w:t>
      </w:r>
      <w:r>
        <w:t xml:space="preserve"> </w:t>
      </w:r>
      <w:r>
        <w:t xml:space="preserve">event uses a splice site absent from the annotation. This is the fourth method, after rMATS with</w:t>
      </w:r>
      <w:r>
        <w:t xml:space="preserve"> </w:t>
      </w:r>
      <w:r>
        <w:rPr>
          <w:rStyle w:val="VerbatimChar"/>
        </w:rPr>
        <w:t xml:space="preserve">--novelSS</w:t>
      </w:r>
      <w:r>
        <w:t xml:space="preserve">, LeafCutter and isoform-level testing, to converge on this locus.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current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The junction-level estimate is larger than the rMATS estimate for the same exon in the same libraries (+0.149 versus +0.059)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The original analysis treated eight contrasts derived from the same two control libraries as independent observations. We therefore repeated the calculation with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sensitivity analysis.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consistent with the absence of cryptic events in the core machinery.</w:t>
      </w:r>
    </w:p>
    <w:bookmarkEnd w:id="32"/>
    <w:bookmarkStart w:id="33" w:name="Xe0072569ed2455cb7b49c4d9a26a1ae84c716b6"/>
    <w:p>
      <w:pPr>
        <w:pStyle w:val="Heading3"/>
      </w:pPr>
      <w:r>
        <w:t xml:space="preserve">3.5 A coverage-based APA screen yields candidate gradients but no confirmed core-SOCE events</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core SOCE targets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These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but does not establish a direct APA event in any core SOCE gene.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the only other intervals excluding zero were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w:t>
      </w:r>
      <w:r>
        <w:t xml:space="preserve"> </w:t>
      </w:r>
      <w:r>
        <w:rPr>
          <w:i/>
          <w:iCs/>
        </w:rPr>
        <w:t xml:space="preserve">STMN2</w:t>
      </w:r>
      <w:r>
        <w:t xml:space="preserve"> </w:t>
      </w:r>
      <w:r>
        <w:t xml:space="preserve">intron 2 index rose from 0.570 in controls to 0.819 in knockdown (Δ = +0.249, interval +0.208 to +0.290), and a second control moved in the expected direction (</w:t>
      </w:r>
      <w:r>
        <w:rPr>
          <w:i/>
          <w:iCs/>
        </w:rPr>
        <w:t xml:space="preserve">UNC13A</w:t>
      </w:r>
      <w:r>
        <w:t xml:space="preserve"> </w:t>
      </w:r>
      <w:r>
        <w:t xml:space="preserve">intron 31, −0.145). Against that working positive control, the core SOCE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of the two SH-SY5Y candidates,</w:t>
      </w:r>
      <w:r>
        <w:t xml:space="preserve"> </w:t>
      </w:r>
      <w:r>
        <w:rPr>
          <w:i/>
          <w:iCs/>
        </w:rPr>
        <w:t xml:space="preserve">STIM2</w:t>
      </w:r>
      <w:r>
        <w:t xml:space="preserve"> </w:t>
      </w:r>
      <w:r>
        <w:t xml:space="preserve">intron 13 did not reproduce (−0.024, interval spanning zero) while</w:t>
      </w:r>
      <w:r>
        <w:t xml:space="preserve"> </w:t>
      </w:r>
      <w:r>
        <w:rPr>
          <w:i/>
          <w:iCs/>
        </w:rPr>
        <w:t xml:space="preserve">STIM1</w:t>
      </w:r>
      <w:r>
        <w:t xml:space="preserve"> </w:t>
      </w:r>
      <w:r>
        <w:t xml:space="preserve">intron 17 did not reach the depth filter in this shallower dataset.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The positive control was informative only in the motor-neuron-like line, where the</w:t>
      </w:r>
      <w:r>
        <w:t xml:space="preserve"> </w:t>
      </w:r>
      <w:r>
        <w:rPr>
          <w:i/>
          <w:iCs/>
        </w:rPr>
        <w:t xml:space="preserve">Stmn2</w:t>
      </w:r>
      <w:r>
        <w:t xml:space="preserve"> </w:t>
      </w:r>
      <w:r>
        <w:t xml:space="preserve">intron 2 index moved in the expected direction (+0.148, interval +0.005 to +0.290); in the myoblast line that intron did not pass the depth filter. No core SOCE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neuronal models: the</w:t>
      </w:r>
      <w:r>
        <w:t xml:space="preserve"> </w:t>
      </w:r>
      <w:r>
        <w:rPr>
          <w:i/>
          <w:iCs/>
        </w:rPr>
        <w:t xml:space="preserve">SARAF</w:t>
      </w:r>
      <w:r>
        <w:t xml:space="preserve"> </w:t>
      </w:r>
      <w:r>
        <w:t xml:space="preserve">intron 5 index rises in the iPSC-derived motor neurons (+0.097) and in NSC34 (+0.204), and is not measurable in SH-SY5Y. We record it as a candidate rather than a finding: the NSC34 interval is wide, the myoblast line shows nothing there, and a coverage gradient is not a poly(A) site.</w:t>
      </w:r>
    </w:p>
    <w:p>
      <w:pPr>
        <w:pStyle w:val="BodyText"/>
      </w:pPr>
      <w:r>
        <w:t xml:space="preserve">Taken together, the corrected analyses support altered calcium-related RNA profiles but do not establish whether any core SOCE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w:t>
      </w:r>
    </w:p>
    <w:p>
      <w:pPr>
        <w:pStyle w:val="BodyText"/>
      </w:pPr>
      <w:r>
        <w:t xml:space="preserve">In the length-corrected (TPM) estimates,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respective families (77% and 98% of the family total in control cells) and both decrease in knockdown,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 that increase.</w:t>
      </w:r>
      <w:r>
        <w:t xml:space="preserve"> </w:t>
      </w:r>
      <w:r>
        <w:rPr>
          <w:i/>
          <w:iCs/>
        </w:rPr>
        <w:t xml:space="preserve">STIM1</w:t>
      </w:r>
      <w:r>
        <w:t xml:space="preserve"> </w:t>
      </w:r>
      <w:r>
        <w:t xml:space="preserve">and</w:t>
      </w:r>
      <w:r>
        <w:t xml:space="preserve"> </w:t>
      </w:r>
      <w:r>
        <w:rPr>
          <w:i/>
          <w:iCs/>
        </w:rPr>
        <w:t xml:space="preserve">TRPC1</w:t>
      </w:r>
      <w:r>
        <w:t xml:space="preserve"> </w:t>
      </w:r>
      <w:r>
        <w:t xml:space="preserve">are the dominant members of their families and also increase. At family level the SERCA and mitochondrial-uptake pools fall (−32% and −43% of total TPM) while the STIM pool rises (+13%) and the ORAI and SOCE-regulator pools are almost unchanged (−3% and −1%). These are descriptive summaries of transcript abundance and cannot be converted directly into protein-complex stoichiometry.</w:t>
      </w:r>
    </w:p>
    <w:p>
      <w:pPr>
        <w:pStyle w:val="BodyText"/>
      </w:pPr>
      <w:r>
        <w:rPr>
          <w:i/>
          <w:iCs/>
        </w:rPr>
        <w:t xml:space="preserve">SARAF</w:t>
      </w:r>
      <w:r>
        <w:t xml:space="preserve"> </w:t>
      </w:r>
      <w:r>
        <w:t xml:space="preserve">is the dominant SOCE regulator (82% of that family’s transcript pool) and increases in the knockdown libraries.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(δ = −0.840; q = 0.038) and in lesions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+0.048), PLP1 (−0.082), MOG (−0.261)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−0.557 → −0.395;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and in our own first attempt,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all 231 correlations computed with both proxies): gene-level</w:t>
      </w:r>
      <w:r>
        <w:t xml:space="preserve"> </w:t>
      </w:r>
      <w:r>
        <w:rPr>
          <w:i/>
          <w:iCs/>
        </w:rPr>
        <w:t xml:space="preserve">STMN2</w:t>
      </w:r>
      <w:r>
        <w:t xml:space="preserve"> </w:t>
      </w:r>
      <w:r>
        <w:t xml:space="preserve">fell with cryptic inclusion (cervical cord ρ = −0.244, q = 0.010),</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0.026 and 0.021) — all three internally consistent — together with</w:t>
      </w:r>
      <w:r>
        <w:t xml:space="preserve"> </w:t>
      </w:r>
      <w:r>
        <w:rPr>
          <w:i/>
          <w:iCs/>
        </w:rPr>
        <w:t xml:space="preserve">ATP2A2</w:t>
      </w:r>
      <w:r>
        <w:t xml:space="preserve"> </w:t>
      </w:r>
      <w:r>
        <w:t xml:space="preserve">(medial motor cortex, −0.299, q = 0.014),</w:t>
      </w:r>
      <w:r>
        <w:t xml:space="preserve"> </w:t>
      </w:r>
      <w:r>
        <w:rPr>
          <w:i/>
          <w:iCs/>
        </w:rPr>
        <w:t xml:space="preserve">STIM1</w:t>
      </w:r>
      <w:r>
        <w:t xml:space="preserve"> </w:t>
      </w:r>
      <w:r>
        <w:t xml:space="preserve">(lumbar cord, −0.280, q = 0.0019),</w:t>
      </w:r>
      <w:r>
        <w:t xml:space="preserve"> </w:t>
      </w:r>
      <w:r>
        <w:rPr>
          <w:i/>
          <w:iCs/>
        </w:rPr>
        <w:t xml:space="preserve">SARAF</w:t>
      </w:r>
      <w:r>
        <w:t xml:space="preserve"> </w:t>
      </w:r>
      <w:r>
        <w:t xml:space="preserve">(lumbar cord, −0.194, q = 0.045) and</w:t>
      </w:r>
      <w:r>
        <w:t xml:space="preserve"> </w:t>
      </w:r>
      <w:r>
        <w:rPr>
          <w:i/>
          <w:iCs/>
        </w:rPr>
        <w:t xml:space="preserve">ORAI1</w:t>
      </w:r>
      <w:r>
        <w:t xml:space="preserve"> </w:t>
      </w:r>
      <w:r>
        <w:t xml:space="preserve">(+0.278 in cervical and +0.234 in lumbar cord, q = 0.0027 and 0.012). Two of these four SOCE correlations run in the direction the cellular model predicts (the</w:t>
      </w:r>
      <w:r>
        <w:t xml:space="preserve"> </w:t>
      </w:r>
      <w:r>
        <w:rPr>
          <w:i/>
          <w:iCs/>
        </w:rPr>
        <w:t xml:space="preserve">ATP2A2</w:t>
      </w:r>
      <w:r>
        <w:t xml:space="preserve"> </w:t>
      </w:r>
      <w:r>
        <w:t xml:space="preserve">fall and the</w:t>
      </w:r>
      <w:r>
        <w:t xml:space="preserve"> </w:t>
      </w:r>
      <w:r>
        <w:rPr>
          <w:i/>
          <w:iCs/>
        </w:rPr>
        <w:t xml:space="preserve">ORAI1</w:t>
      </w:r>
      <w:r>
        <w:t xml:space="preserve"> </w:t>
      </w:r>
      <w:r>
        <w:t xml:space="preserve">rise)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the n = 3 experiments require independent biological replication and do not localise the defect exclusively to plasma-membrane influx. The length-corrected transcript summaries show decreases in the dominant ORAI and SERCA members and an increase in</w:t>
      </w:r>
      <w:r>
        <w:t xml:space="preserve"> </w:t>
      </w:r>
      <w:r>
        <w:rPr>
          <w:i/>
          <w:iCs/>
        </w:rPr>
        <w:t xml:space="preserve">SARAF</w:t>
      </w:r>
      <w:r>
        <w:t xml:space="preserve">, alongside increases in the minor members</w:t>
      </w:r>
      <w:r>
        <w:t xml:space="preserve"> </w:t>
      </w:r>
      <w:r>
        <w:rPr>
          <w:i/>
          <w:iCs/>
        </w:rPr>
        <w:t xml:space="preserve">ORAI1</w:t>
      </w:r>
      <w:r>
        <w:t xml:space="preserve"> </w:t>
      </w:r>
      <w:r>
        <w:t xml:space="preserve">and</w:t>
      </w:r>
      <w:r>
        <w:t xml:space="preserve"> </w:t>
      </w:r>
      <w:r>
        <w:rPr>
          <w:i/>
          <w:iCs/>
        </w:rPr>
        <w:t xml:space="preserve">ATP2A3</w:t>
      </w:r>
      <w:r>
        <w:t xml:space="preserve">. These patterns are compatible with a compositional contribution, but TPM is not an absolute measurement and protein abundance, membrane localisation and complex assembly were not measured. ORAI2 and MCUB also have context-dependent regulatory roles, so their RNA changes cannot be assigned a unique functional direction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core SOCE genes nonetheless moved little; the conservative NMD analysis did not yield a genome-wide significant gene. The corrected data therefore do not establish direct or indirect targeting of the core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event architecture in five of six datasets across two species, with large effect sizes and deep read support, independently confirmed by an annotation-free method, and accompanied by the largest expression change of any SOCE regulator.</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samples per group for Ca²⁺ imaging and four wells for viability, and the three Ca²⁺ samples of each group were prepared from a single culture plate rather than on independent culture days; they are therefore not independent biological replicates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length-corrected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The positive control fails the depth filter in SH-SY5Y after the correction, so the negative result in that model rests on an assay whose sensitivity could not be demonstrated there; in the iPSC-derived motor neurons the same control works, but that comparison has only two replicates per group. Across the four comparisons in which the corrected analysis could be run, the assay’s own positive control is informative in two and silent in two. Excluding reference skips reduced the</w:t>
      </w:r>
      <w:r>
        <w:t xml:space="preserve"> </w:t>
      </w:r>
      <w:r>
        <w:rPr>
          <w:i/>
          <w:iCs/>
        </w:rPr>
        <w:t xml:space="preserve">STMN2</w:t>
      </w:r>
      <w:r>
        <w:t xml:space="preserve"> </w:t>
      </w:r>
      <w:r>
        <w:t xml:space="preserve">positive control from a near-complete shift to +0.145 (bootstrap 95% CI +0.085 to +0.205), and the control falls just below the pre-specified depth filter, so the assay’s own positive control is no longer strong in this model. The completed full-panel correction identified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but no large, reproducible APA shift in the core SOCE machinery. Sparse windows remain a sensitivity limit, and the correction was applied only to the primary SH-SY5Y model,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itself was not run; the local-splicing-variation analysis we substituted (Vaquero-Garcia et al., 2016)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core SOCE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[To be completed by the authors, for example: E.Y. designed and performed the laboratory experiments, carried out the computational analyses and wrote the first draft; Y.K. supervised the computational analyses; Y.E. supervised the project and the laboratory work; all authors reviewed and approved the manuscript.]</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2.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3. Robust SOCE splicing candidates in SH-SY5Y</w:t>
      </w:r>
      <w:r>
        <w:t xml:space="preserve"> </w:t>
      </w:r>
      <w:r>
        <w:t xml:space="preserve">with replicate-level bootstrap 95% confidence intervals (10,000 resamples).</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comparison under the permissive definition, with FUS and TAF15 knockdown as controls. (B) Depth-qualified intronic and distal 3′-terminal usage estimates in the corrected SH-SY5Y analysis. (C) Coverage at the two ends of</w:t>
      </w:r>
      <w:r>
        <w:t xml:space="preserve"> </w:t>
      </w:r>
      <w:r>
        <w:rPr>
          <w:i/>
          <w:iCs/>
        </w:rPr>
        <w:t xml:space="preserve">STMN2</w:t>
      </w:r>
      <w:r>
        <w:t xml:space="preserve"> </w:t>
      </w:r>
      <w:r>
        <w:t xml:space="preserve">intron 2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samples per group, prepared from a single culture plate).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per family member in control and TDP-43 knockdown cells for the ORAI, SERCA, STIM, SOCE-regulator and mitochondrial-uptake families; the TRPC and PMCA families are given in Table 4. Asterisks mark the RT-qPCR targets, each of which is a minor member of its family.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tables"/>
    <w:p>
      <w:pPr>
        <w:pStyle w:val="Heading2"/>
      </w:pPr>
      <w:r>
        <w:t xml:space="preserve">Tables</w:t>
      </w:r>
    </w:p>
    <w:p>
      <w:pPr>
        <w:pStyle w:val="FirstParagraph"/>
      </w:pPr>
      <w:r>
        <w:rPr>
          <w:b/>
          <w:bCs/>
        </w:rPr>
        <w:t xml:space="preserve">Table 1.</w:t>
      </w:r>
      <w:r>
        <w:t xml:space="preserve"> </w:t>
      </w:r>
      <w:r>
        <w:t xml:space="preserve">Effect of coverage pre-filtering on event counts and significance, by dataset.</w:t>
      </w:r>
      <w:r>
        <w:t xml:space="preserve"> </w:t>
      </w:r>
      <w:r>
        <w:rPr>
          <w:b/>
          <w:bCs/>
        </w:rPr>
        <w:t xml:space="preserve">Table 2.</w:t>
      </w:r>
      <w:r>
        <w:t xml:space="preserve"> </w:t>
      </w:r>
      <w:r>
        <w:t xml:space="preserve">Robust splicing events in SOCE machinery genes with bootstrap confidence intervals.</w:t>
      </w:r>
      <w:r>
        <w:t xml:space="preserve"> </w:t>
      </w:r>
      <w:r>
        <w:rPr>
          <w:b/>
          <w:bCs/>
        </w:rPr>
        <w:t xml:space="preserve">Table 3.</w:t>
      </w:r>
      <w:r>
        <w:t xml:space="preserve"> </w:t>
      </w:r>
      <w:r>
        <w:t xml:space="preserve">Cryptic events recovered by annotation-free junction analysis in eleven comparisons, with RNA-binding-protein specificity controls.</w:t>
      </w:r>
      <w:r>
        <w:t xml:space="preserve"> </w:t>
      </w:r>
      <w:r>
        <w:rPr>
          <w:b/>
          <w:bCs/>
        </w:rPr>
        <w:t xml:space="preserve">Table 4.</w:t>
      </w:r>
      <w:r>
        <w:t xml:space="preserve"> </w:t>
      </w:r>
      <w:r>
        <w:t xml:space="preserve">Transcript-family abundance of SOCE-related genes in SH-SY5Y.</w:t>
      </w:r>
      <w:r>
        <w:t xml:space="preserve"> </w:t>
      </w: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bookmarkEnd w:id="46"/>
    <w:bookmarkStart w:id="47" w:name="supplementary"/>
    <w:p>
      <w:pPr>
        <w:pStyle w:val="Heading2"/>
      </w:pPr>
      <w:r>
        <w:t xml:space="preserve">Supplementary</w:t>
      </w:r>
    </w:p>
    <w:p>
      <w:pPr>
        <w:pStyle w:val="FirstParagraph"/>
      </w:pPr>
      <w:r>
        <w:rPr>
          <w:b/>
          <w:bCs/>
        </w:rPr>
        <w:t xml:space="preserve">S1.</w:t>
      </w:r>
      <w:r>
        <w:t xml:space="preserve"> </w:t>
      </w:r>
      <w:r>
        <w:t xml:space="preserve">Laboratory source data (RT-qPCR Ct values, Fura-2 traces, WST-1 absorbances).</w:t>
      </w:r>
      <w:r>
        <w:t xml:space="preserve"> </w:t>
      </w:r>
      <w:r>
        <w:rPr>
          <w:b/>
          <w:bCs/>
        </w:rPr>
        <w:t xml:space="preserve">S2.</w:t>
      </w:r>
      <w:r>
        <w:t xml:space="preserve"> </w:t>
      </w:r>
      <w:r>
        <w:t xml:space="preserve">Ca²⁺ gene panels (four cumulative sets).</w:t>
      </w:r>
      <w:r>
        <w:t xml:space="preserve"> </w:t>
      </w:r>
      <w:r>
        <w:rPr>
          <w:b/>
          <w:bCs/>
        </w:rPr>
        <w:t xml:space="preserve">S3.</w:t>
      </w:r>
      <w:r>
        <w:t xml:space="preserve"> </w:t>
      </w:r>
      <w:r>
        <w:t xml:space="preserve">Full rMATS output, JC and JCEC, six datasets.</w:t>
      </w:r>
      <w:r>
        <w:t xml:space="preserve"> </w:t>
      </w:r>
      <w:r>
        <w:rPr>
          <w:b/>
          <w:bCs/>
        </w:rPr>
        <w:t xml:space="preserve">S4.</w:t>
      </w:r>
      <w:r>
        <w:t xml:space="preserve"> </w:t>
      </w:r>
      <w:r>
        <w:t xml:space="preserve">Matched permutation enrichment results, all datasets and panels.</w:t>
      </w:r>
      <w:r>
        <w:t xml:space="preserve"> </w:t>
      </w:r>
      <w:r>
        <w:rPr>
          <w:b/>
          <w:bCs/>
        </w:rPr>
        <w:t xml:space="preserve">S5.</w:t>
      </w:r>
      <w:r>
        <w:t xml:space="preserve"> </w:t>
      </w:r>
      <w:r>
        <w:t xml:space="preserve">Cryptic events, all datasets.</w:t>
      </w:r>
      <w:r>
        <w:t xml:space="preserve"> </w:t>
      </w:r>
      <w:r>
        <w:rPr>
          <w:b/>
          <w:bCs/>
        </w:rPr>
        <w:t xml:space="preserve">S6.</w:t>
      </w:r>
      <w:r>
        <w:t xml:space="preserve"> </w:t>
      </w:r>
      <w:r>
        <w:t xml:space="preserve">Cryptic positive controls and the dataset × gene matrix.</w:t>
      </w:r>
      <w:r>
        <w:t xml:space="preserve"> </w:t>
      </w:r>
      <w:r>
        <w:rPr>
          <w:b/>
          <w:bCs/>
        </w:rPr>
        <w:t xml:space="preserve">S7.</w:t>
      </w:r>
      <w:r>
        <w:t xml:space="preserve"> </w:t>
      </w:r>
      <w:r>
        <w:t xml:space="preserve">SOCE genes in the annotation-free analysis.</w:t>
      </w:r>
      <w:r>
        <w:t xml:space="preserve"> </w:t>
      </w: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r>
        <w:t xml:space="preserve"> </w:t>
      </w:r>
      <w:r>
        <w:rPr>
          <w:b/>
          <w:bCs/>
        </w:rPr>
        <w:t xml:space="preserve">S9.</w:t>
      </w:r>
      <w:r>
        <w:t xml:space="preserve"> </w:t>
      </w:r>
      <w:r>
        <w:t xml:space="preserve">Correlations of cryptic</w:t>
      </w:r>
      <w:r>
        <w:t xml:space="preserve"> </w:t>
      </w:r>
      <w:r>
        <w:rPr>
          <w:i/>
          <w:iCs/>
        </w:rPr>
        <w:t xml:space="preserve">STMN2</w:t>
      </w:r>
      <w:r>
        <w:t xml:space="preserve"> </w:t>
      </w:r>
      <w:r>
        <w:t xml:space="preserve">PSI with target genes within ALS samples.</w:t>
      </w:r>
      <w:r>
        <w:t xml:space="preserve"> </w:t>
      </w:r>
      <w:r>
        <w:rPr>
          <w:b/>
          <w:bCs/>
        </w:rPr>
        <w:t xml:space="preserve">S10.</w:t>
      </w:r>
      <w:r>
        <w:t xml:space="preserve"> </w:t>
      </w:r>
      <w:r>
        <w:t xml:space="preserve">Nonsense-mediated decay interaction for the SOCE panel (four-condition analysis).</w:t>
      </w:r>
      <w:r>
        <w:t xml:space="preserve"> </w:t>
      </w:r>
      <w:r>
        <w:rPr>
          <w:b/>
          <w:bCs/>
        </w:rPr>
        <w:t xml:space="preserve">S11.</w:t>
      </w:r>
      <w:r>
        <w:t xml:space="preserve"> </w:t>
      </w:r>
      <w:r>
        <w:t xml:space="preserve">Depth-qualified candidate intronic polyadenylation and 3′UTR usage gradients from the corrected SH-SY5Y analysis; these are not direct poly(A)-site calls.</w:t>
      </w:r>
      <w:r>
        <w:t xml:space="preserve"> </w:t>
      </w:r>
      <w:r>
        <w:rPr>
          <w:b/>
          <w:bCs/>
        </w:rPr>
        <w:t xml:space="preserve">S12.</w:t>
      </w:r>
      <w:r>
        <w:t xml:space="preserve"> </w:t>
      </w:r>
      <w:r>
        <w:t xml:space="preserve">Cryptic event counts by dataset with FUS and TAF15 knockdown controls.</w:t>
      </w:r>
      <w:r>
        <w:t xml:space="preserve"> </w:t>
      </w:r>
      <w:r>
        <w:rPr>
          <w:b/>
          <w:bCs/>
        </w:rPr>
        <w:t xml:space="preserve">S13.</w:t>
      </w:r>
      <w:r>
        <w:t xml:space="preserve"> </w:t>
      </w:r>
      <w:r>
        <w:rPr>
          <w:i/>
          <w:iCs/>
        </w:rPr>
        <w:t xml:space="preserve">STIM2</w:t>
      </w:r>
      <w:r>
        <w:t xml:space="preserve"> </w:t>
      </w:r>
      <w:r>
        <w:t xml:space="preserve">SOAR exon at junction level, all datasets.</w:t>
      </w:r>
      <w:r>
        <w:t xml:space="preserve"> </w:t>
      </w:r>
      <w:r>
        <w:rPr>
          <w:b/>
          <w:bCs/>
        </w:rPr>
        <w:t xml:space="preserve">S14.</w:t>
      </w:r>
      <w:r>
        <w:t xml:space="preserve"> </w:t>
      </w:r>
      <w:r>
        <w:t xml:space="preserve">Control-versus-control null test of the cryptic calling procedure.</w:t>
      </w:r>
      <w:r>
        <w:t xml:space="preserve"> </w:t>
      </w:r>
      <w:r>
        <w:rPr>
          <w:b/>
          <w:bCs/>
        </w:rPr>
        <w:t xml:space="preserve">S15.</w:t>
      </w:r>
      <w:r>
        <w:t xml:space="preserve"> </w:t>
      </w:r>
      <w:r>
        <w:t xml:space="preserve">STIM2.1 exon analysis across six datasets.</w:t>
      </w:r>
      <w:r>
        <w:t xml:space="preserve"> </w:t>
      </w:r>
      <w:r>
        <w:rPr>
          <w:b/>
          <w:bCs/>
        </w:rPr>
        <w:t xml:space="preserve">S16.</w:t>
      </w:r>
      <w:r>
        <w:t xml:space="preserve"> </w:t>
      </w:r>
      <w:r>
        <w:t xml:space="preserve">Multiple sclerosis analysis, both cohorts, with myelin adjustment and the donor-level re-analysis.</w:t>
      </w:r>
      <w:r>
        <w:t xml:space="preserve"> </w:t>
      </w:r>
      <w:r>
        <w:rPr>
          <w:b/>
          <w:bCs/>
        </w:rPr>
        <w:t xml:space="preserve">S17.</w:t>
      </w:r>
      <w:r>
        <w:t xml:space="preserve"> </w:t>
      </w:r>
      <w:r>
        <w:t xml:space="preserve">Accession list for every dataset analysed, with design, library type and sample-to-group assignment.</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2026-09-18T15:23:30Z</dcterms:created>
  <dcterms:modified xsi:type="dcterms:W3CDTF">2026-09-18T15:23:30Z</dcterms:modified>
</cp:coreProperties>
</file>

<file path=docProps/custom.xml><?xml version="1.0" encoding="utf-8"?>
<Properties xmlns="http://schemas.openxmlformats.org/officeDocument/2006/custom-properties" xmlns:vt="http://schemas.openxmlformats.org/officeDocument/2006/docPropsVTypes"/>
</file>