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approximately 84% lower after knockdown (n = 3). ER Ca²⁺ release amplitudes were 0.268 and 0.180 Δ(F340/F380), respectively.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brain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label does not identify the constituent disorders; these regions contained 49 cerebellar, 45 frontal-cortex and 35 temporal-cortex case samples (Table 5). Age, RNA integrity number and post-mortem interval were not included as covariates.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(n = 3).</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(n = 3) and 48-h WST-1 well signals (n = 4) were summarised descriptively, without inferential tests. Significance was set at adjusted p &lt; 0.05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ER Ca²⁺-release means were 0.268 ± 0.042 and 0.180 ± 0.061 Δ(F340/F380) in the control and shTDP-43 groups, respectively. The readdition amplitudes were 1.542 ± 0.282 and 0.245 ± 0.083, respectively (n = 3). At 48 h, the WST-1 signal was 61.5 ± 0.8% of control, a 38.5% decrease (n = 4). These Fura-2 and WST-1 comparisons are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individual measurements and mean ± SEM (n = 3; descriptive).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three events with adequate coverage and bootstrap intervals excluding zero: STIMATE, ORAI3 and STIM2 (Table 3, Supplementary Figure S3). A STIM1 event met the count and FDR criteria, but its interval included zero and is shown for context.</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event-level evidence is shown in Figure 5.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keepNext/>
      </w:pPr>
      <w:r>
        <w:drawing>
          <wp:inline>
            <wp:extent cx="5623560" cy="3513260"/>
            <wp:docPr id="5" name="Picture 5"/>
            <wp:cNvGraphicFramePr>
              <a:graphicFrameLocks noChangeAspect="1"/>
            </wp:cNvGraphicFramePr>
            <a:graphic>
              <a:graphicData uri="http://schemas.openxmlformats.org/drawingml/2006/picture">
                <pic:pic>
                  <pic:nvPicPr>
                    <pic:cNvPr id="0" name="Figure5_CBARP_splicing.png"/>
                    <pic:cNvPicPr/>
                  </pic:nvPicPr>
                  <pic:blipFill>
                    <a:blip r:embed="rId13"/>
                    <a:stretch>
                      <a:fillRect/>
                    </a:stretch>
                  </pic:blipFill>
                  <pic:spPr>
                    <a:xfrm>
                      <a:off x="0" y="0"/>
                      <a:ext cx="5623560" cy="3513260"/>
                    </a:xfrm>
                    <a:prstGeom prst="rect"/>
                  </pic:spPr>
                </pic:pic>
              </a:graphicData>
            </a:graphic>
          </wp:inline>
        </w:drawing>
      </w:r>
    </w:p>
    <w:p>
      <w:pPr>
        <w:pStyle w:val="Caption"/>
      </w:pPr>
      <w:r>
        <w:rPr>
          <w:b/>
        </w:rPr>
        <w:t xml:space="preserve">Figure 5. </w:t>
      </w:r>
      <w:r>
        <w:t>CBARP splicing across TDP-43-depletion datasets. (A) Genomic location and splice pattern of a representative iPSC-colony skipped-exon event, drawn from rMATS coordinates rather than read-coverage traces. (B) Per-library exon inclusion (PSI) for this event; each point represents one RNA-seq library. (C) Event-level ΔPSI for all 32 CBARP events meeting the prespecified FDR, effect-size and coverage filters in five datasets. Direction refers to the rMATS-defined form and varies by model; the evidence supports recurrent involvement of the locus, not a shared directional switch. Source: Supplementary Table S3.</w:t>
      </w:r>
    </w:p>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Permissive-tier and annotated-site events are detailed in Supplementary Table S7 and Figure S4B.</w:t>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Excluding CIGAR reference skips affected this positive control: including them would have changed the STMN2 intron 2 index difference from +0.145 to +0.489. In the primary SH-SY5Y model, the skip-excluded index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5).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2903317"/>
            <wp:docPr id="6" name="Picture 6"/>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2903317"/>
                    </a:xfrm>
                    <a:prstGeom prst="rect"/>
                  </pic:spPr>
                </pic:pic>
              </a:graphicData>
            </a:graphic>
          </wp:inline>
        </w:drawing>
      </w:r>
    </w:p>
    <w:p>
      <w:pPr>
        <w:pStyle w:val="Caption"/>
      </w:pPr>
      <w:r>
        <w:rPr>
          <w:b/>
        </w:rPr>
        <w:t xml:space="preserve">Figure 6. </w:t>
      </w:r>
      <w:r>
        <w:t>Working model of the observed calcium phenotype and candidate RNA changes. The laboratory Fura-2 assay found a smaller readdition amplitude after TARDBP knockdown in SH-SY5Y cells. Public knockdown RNA-seq identified changes in calcium-regulatory transcripts and recurrent CBARP splicing. ATP2A2, ORAI-family composition and SARAF are potential contributors to store filling, entry and feedback; CBARP is placed on a parallel voltage-gated channel branch. Arrows indicate hypotheses for future perturbation, not demonstrated causal links.</w:t>
      </w:r>
    </w:p>
    <w:p>
      <w:pPr>
        <w:pStyle w:val="Heading3"/>
      </w:pPr>
      <w:r>
        <w:t>Limitations</w:t>
      </w:r>
    </w:p>
    <w:p>
      <w:r>
        <w:t>TARDBP depletion was verified by RT-qPCR but not at the protein level, and one TDP-43-targeting shRNA was used without a rescue experiment. The Fura-2 (n = 3) and 48-h WST-1 (n = 4) results are descriptive.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v1.0.4 at https://github.com/elmasnuryilmaz/tdp43-soce-manuscript/releases/tag/v1.0.4.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w:t>
      </w:r>
      <w:r>
        <w:t xml:space="preserve"/>
      </w:r>
      <w:r>
        <w:t xml:space="preserve">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