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One-plate Fura-2 measurements showed a lower calcium-readdition response.</w:t>
      </w:r>
    </w:p>
    <w:p>
      <w:pPr>
        <w:pStyle w:val="ListBullet"/>
      </w:pPr>
      <w:r>
        <w:t>RT-qPCR in four biological replicates showed higher calcium-regulatory mRNAs.</w:t>
      </w:r>
    </w:p>
    <w:p>
      <w:pPr>
        <w:pStyle w:val="ListBullet"/>
      </w:pPr>
      <w:r>
        <w:t>RNA analyses identified candidates without establishing a SOCE mechanism.</w:t>
      </w:r>
    </w:p>
    <w:p>
      <w:pPr>
        <w:pStyle w:val="ListBullet"/>
      </w:pPr>
      <w:r>
        <w:t>TRPC1 and SARAF increased in six ALS brain regions.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