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brain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Reporting guidelines for quantitative PCR recommend at least two validated reference genes; the single-reference design is therefore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ER Ca²⁺ release fell less and not significantly, from 0.268 ± 0.042 to 0.180 ± 0.061 (difference −0.09, 95% CI −0.30 to +0.13; p = 0.31). Because both phases come from the same recording, readdition was also expressed relative to each culture’s own release. This ratio was 5.88 ± 1.10 in controls and 1.36 ± 0.01 after knockdown, 77% lower,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the three independent cultures per group and mean ± SEM (readdition, Welch’s t-test p = 0.035; ER release, p = 0.31). (E) The recordings in A and B replotted from their exported ratio values on common axes, with time aligned to the steepest point of the readdition rise.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FRASER, run on the nine-sample doxycycline series, returned no genome-wide significant outlier and no difference in per-sample outlier burden between depleted and control libraries (4.8 versus 2.3 events at p &lt; 10⁻⁵; p = 0.35). This is the expected behaviour of an outlier method in a cohort where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and lower again with the donor as the unit of inference (seven of ten multiple sclerosis donors with NAWM samples versus five control donors, δ = −0.771, uncorrected p = 0.030). In the full GSE138614 comparison, regression of TRPC1 on MBP, PLP1 and GFAP attenuated the difference at both levels: from δ = −0.562 to Cliff’s δ of −0.418 on the residuals at sample level (p = 0.002), and from δ = −0.840 to −0.640 at donor level, where the adjusted difference did not reach significance (p = 0.055).</w:t>
      </w:r>
      <w:r>
        <w:t xml:space="preserve"> </w:t>
      </w:r>
      <w:r>
        <w:rPr>
          <w:i/>
          <w:iCs/>
        </w:rPr>
        <w:t xml:space="preserve">TRPC1</w:t>
      </w:r>
      <w:r>
        <w:t xml:space="preserve"> </w:t>
      </w:r>
      <w:r>
        <w:t xml:space="preserve">was lower in every lesion type, including remyelinating and inactive lesions (donor-level δ = −1.000 for both), and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and the readdition signal was not characterised pharmacologically, for example with an ORAI channel inhibitor. The WST-1 signal is reported at 48 h only, from four wells of one experiment; it is not a cell count and cannot separate fewer cells from lower metabolic activity per cell.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