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Highlights</w:t>
      </w:r>
    </w:p>
    <w:p>
      <w:pPr>
        <w:pStyle w:val="ListBullet"/>
      </w:pPr>
      <w:r>
        <w:t>One-plate Fura-2 measurements showed a lower calcium-readdition response.</w:t>
      </w:r>
    </w:p>
    <w:p>
      <w:pPr>
        <w:pStyle w:val="ListBullet"/>
      </w:pPr>
      <w:r>
        <w:t>Technical RT-qPCR measurements showed higher calcium-regulatory mRNAs.</w:t>
      </w:r>
    </w:p>
    <w:p>
      <w:pPr>
        <w:pStyle w:val="ListBullet"/>
      </w:pPr>
      <w:r>
        <w:t>RNA analyses identified candidates without establishing a SOCE mechanism.</w:t>
      </w:r>
    </w:p>
    <w:p>
      <w:pPr>
        <w:pStyle w:val="ListBullet"/>
      </w:pPr>
      <w:r>
        <w:t>TRPC1 and SARAF increased in six ALS brain regions.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