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a lower Ca²⁺-readdition response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rPr>
          <w:i w:val="0"/>
        </w:rPr>
        <w:t xml:space="preserve">TDP-43 loss is implicated in amyotrophic lateral sclerosis (ALS), but its relationship to store-operated Ca²⁺ entry (SOCE) is unclear. After shRNA-mediated </w:t>
      </w:r>
      <w:r>
        <w:rPr>
          <w:i/>
        </w:rPr>
        <w:t>TARDBP</w:t>
      </w:r>
      <w:r>
        <w:rPr>
          <w:i w:val="0"/>
        </w:rPr>
        <w:t xml:space="preserve"> depletion in SH-SY5Y cells, </w:t>
      </w:r>
      <w:r>
        <w:rPr>
          <w:i/>
        </w:rPr>
        <w:t>TRPC1</w:t>
      </w:r>
      <w:r>
        <w:rPr>
          <w:i w:val="0"/>
        </w:rPr>
        <w:t xml:space="preserve">, </w:t>
      </w:r>
      <w:r>
        <w:rPr>
          <w:i/>
        </w:rPr>
        <w:t>STIM1</w:t>
      </w:r>
      <w:r>
        <w:rPr>
          <w:i w:val="0"/>
        </w:rPr>
        <w:t xml:space="preserve">, </w:t>
      </w:r>
      <w:r>
        <w:rPr>
          <w:i/>
        </w:rPr>
        <w:t>ORAI1</w:t>
      </w:r>
      <w:r>
        <w:rPr>
          <w:i w:val="0"/>
        </w:rPr>
        <w:t xml:space="preserve"> and </w:t>
      </w:r>
      <w:r>
        <w:rPr>
          <w:i/>
        </w:rPr>
        <w:t>ATP2A3</w:t>
      </w:r>
      <w:r>
        <w:rPr>
          <w:i w:val="0"/>
        </w:rPr>
        <w:t xml:space="preserve"> mRNA measurements were 1.7- to 3.2-fold higher (four technical RT-qPCR repeats per group; descriptive), while the Fura-2 Ca²⁺-readdition amplitude was 84% lower in the knockdown wells of one culture plate (three wells per group; descriptive). ER Ca²⁺ release was 33% lower, and readdition normalised to each well’s own release was 77% lower. At 48 h, the WST-1 signal was 38.5% lower in four wells from one of three experiments (descriptive). We reanalysed six public TDP-43-depletion RNA-seq comparisons (38 libraries) for calcium-regulatory expression and splicing, screened eleven comparisons for unannotated junction changes, and assessed alternative polyadenylation and nonsense-mediated decay. </w:t>
      </w:r>
      <w:r>
        <w:rPr>
          <w:i/>
        </w:rPr>
        <w:t>CBARP</w:t>
      </w:r>
      <w:r>
        <w:rPr>
          <w:i w:val="0"/>
        </w:rPr>
        <w:t xml:space="preserve"> was the most reproducible splicing candidate across species, whereas </w:t>
      </w:r>
      <w:r>
        <w:rPr>
          <w:i/>
        </w:rPr>
        <w:t>STIM2</w:t>
      </w:r>
      <w:r>
        <w:rPr>
          <w:i w:val="0"/>
        </w:rPr>
        <w:t xml:space="preserve">, </w:t>
      </w:r>
      <w:r>
        <w:rPr>
          <w:i/>
        </w:rPr>
        <w:t>STIMATE</w:t>
      </w:r>
      <w:r>
        <w:rPr>
          <w:i w:val="0"/>
        </w:rPr>
        <w:t xml:space="preserve"> and </w:t>
      </w:r>
      <w:r>
        <w:rPr>
          <w:i/>
        </w:rPr>
        <w:t>ORAI3</w:t>
      </w:r>
      <w:r>
        <w:rPr>
          <w:i w:val="0"/>
        </w:rPr>
        <w:t xml:space="preserve"> events were supported in the primary RNA-seq model. No confirmed RNA-processing event in the core SOCE machinery explained the observed Fura-2 difference. In ALS tissue, </w:t>
      </w:r>
      <w:r>
        <w:rPr>
          <w:i/>
        </w:rPr>
        <w:t>TRPC1</w:t>
      </w:r>
      <w:r>
        <w:rPr>
          <w:i w:val="0"/>
        </w:rPr>
        <w:t xml:space="preserve"> and </w:t>
      </w:r>
      <w:r>
        <w:rPr>
          <w:i/>
        </w:rPr>
        <w:t>SARAF</w:t>
      </w:r>
      <w:r>
        <w:rPr>
          <w:i w:val="0"/>
        </w:rPr>
        <w:t xml:space="preserve"> increased and </w:t>
      </w:r>
      <w:r>
        <w:rPr>
          <w:i/>
        </w:rPr>
        <w:t>CBARP</w:t>
      </w:r>
      <w:r>
        <w:rPr>
          <w:i w:val="0"/>
        </w:rPr>
        <w:t xml:space="preserve"> decreased in six brain regions, and </w:t>
      </w:r>
      <w:r>
        <w:rPr>
          <w:i/>
        </w:rPr>
        <w:t>SARAF</w:t>
      </w:r>
      <w:r>
        <w:rPr>
          <w:i w:val="0"/>
        </w:rPr>
        <w:t xml:space="preserve"> and </w:t>
      </w:r>
      <w:r>
        <w:rPr>
          <w:i/>
        </w:rPr>
        <w:t>CBARP</w:t>
      </w:r>
      <w:r>
        <w:rPr>
          <w:i w:val="0"/>
        </w:rPr>
        <w:t xml:space="preserve"> changed in the same direction in cervical and lumbar cord, but these tissue associations could not be attributed to TDP-43 loss. The laboratory observations require independent biological replication; the RNA analyses identify candidate calcium-regulatory changes without establishing a causal link to that response.</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rPr>
          <w:i w:val="0"/>
        </w:rP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rPr>
          <w:i w:val="0"/>
        </w:rPr>
        <w:t>(Liao et al., 2014)</w:t>
      </w:r>
      <w:r>
        <w:fldChar w:fldCharType="end"/>
      </w:r>
      <w:r>
        <w:rPr>
          <w:i w:val="0"/>
        </w:rPr>
        <w:t xml:space="preserve"> at meta-feature level against the same annotation (</w:t>
      </w:r>
      <w:r>
        <w:rPr>
          <w:rStyle w:val="VerbatimChar"/>
          <w:i w:val="0"/>
        </w:rPr>
        <w:t>-s 0 -g gene_name</w:t>
      </w:r>
      <w:r>
        <w:rPr>
          <w:i w:val="0"/>
        </w:rPr>
        <w:t>, with</w:t>
      </w:r>
      <w:r>
        <w:rPr>
          <w:i w:val="0"/>
        </w:rPr>
        <w:t xml:space="preserve"> </w:t>
      </w:r>
      <w:r>
        <w:rPr>
          <w:rStyle w:val="VerbatimChar"/>
          <w:i w:val="0"/>
        </w:rPr>
        <w:t>-p --countReadPairs</w:t>
      </w:r>
      <w:r>
        <w:rPr>
          <w:i w:val="0"/>
        </w:rPr>
        <w:t xml:space="preserve"> </w:t>
      </w:r>
      <w:r>
        <w:rPr>
          <w:i w:val="0"/>
        </w:rP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rPr>
          <w:i w:val="0"/>
        </w:rPr>
        <w:t>(Love et al., 2014)</w:t>
      </w:r>
      <w:r>
        <w:fldChar w:fldCharType="end"/>
      </w:r>
      <w:r>
        <w:rPr>
          <w:i w:val="0"/>
        </w:rP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rPr>
          <w:i w:val="0"/>
        </w:rPr>
        <w:t>(Benjamini and Hochberg, 1995)</w:t>
      </w:r>
      <w:r>
        <w:fldChar w:fldCharType="end"/>
      </w:r>
      <w:r>
        <w:rPr>
          <w:i w:val="0"/>
        </w:rP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rPr>
          <w:i w:val="0"/>
        </w:rPr>
        <w:t>(sva v3.50.0; Leek, 2014)</w:t>
      </w:r>
      <w:r>
        <w:fldChar w:fldCharType="end"/>
      </w:r>
      <w:r>
        <w:rPr>
          <w:i w:val="0"/>
        </w:rPr>
        <w:t xml:space="preserve">, which estimated two surrogate variables in the primary SH-SY5Y comparison. After adjustment for two surrogate variables, 1,067 genes met both DE thresholds, compared with 1,694 in the original model; 850 were shared and all shared genes retained their direction. The median absolute difference in log2 fold change was 0.20 across the 14,012 genes with adjusted p values in both models. Including two surrogate variables reduced the residual degrees of freedom from four to two, and changed both effect estimates and their uncertainty. </w:t>
      </w:r>
      <w:r>
        <w:rPr>
          <w:i/>
        </w:rPr>
        <w:t>STIM1</w:t>
      </w:r>
      <w:r>
        <w:rPr>
          <w:i w:val="0"/>
        </w:rPr>
        <w:t xml:space="preserve">, </w:t>
      </w:r>
      <w:r>
        <w:rPr>
          <w:i/>
        </w:rPr>
        <w:t>TRPC1</w:t>
      </w:r>
      <w:r>
        <w:rPr>
          <w:i w:val="0"/>
        </w:rPr>
        <w:t xml:space="preserve">, </w:t>
      </w:r>
      <w:r>
        <w:rPr>
          <w:i/>
        </w:rPr>
        <w:t>ORAI3</w:t>
      </w:r>
      <w:r>
        <w:rPr>
          <w:i w:val="0"/>
        </w:rPr>
        <w:t xml:space="preserve">, </w:t>
      </w:r>
      <w:r>
        <w:rPr>
          <w:i/>
        </w:rPr>
        <w:t>SARAF</w:t>
      </w:r>
      <w:r>
        <w:rPr>
          <w:i w:val="0"/>
        </w:rPr>
        <w:t xml:space="preserve"> and </w:t>
      </w:r>
      <w:r>
        <w:rPr>
          <w:i/>
        </w:rPr>
        <w:t>CBARP</w:t>
      </w:r>
      <w:r>
        <w:rPr>
          <w:i w:val="0"/>
        </w:rPr>
        <w:t xml:space="preserve"> retained q &lt; 0.05 in both models, but only </w:t>
      </w:r>
      <w:r>
        <w:rPr>
          <w:i/>
        </w:rPr>
        <w:t>ORAI3</w:t>
      </w:r>
      <w:r>
        <w:rPr>
          <w:i w:val="0"/>
        </w:rPr>
        <w:t xml:space="preserve"> and </w:t>
      </w:r>
      <w:r>
        <w:rPr>
          <w:i/>
        </w:rPr>
        <w:t>CBARP</w:t>
      </w:r>
      <w:r>
        <w:rPr>
          <w:i w:val="0"/>
        </w:rPr>
        <w:t xml:space="preserve"> met both the q and fold-change thresholds in both. </w:t>
      </w:r>
      <w:r>
        <w:rPr>
          <w:i/>
        </w:rPr>
        <w:t>ORAI1</w:t>
      </w:r>
      <w:r>
        <w:rPr>
          <w:i w:val="0"/>
        </w:rPr>
        <w:t xml:space="preserve">, </w:t>
      </w:r>
      <w:r>
        <w:rPr>
          <w:i/>
        </w:rPr>
        <w:t>ATP2A3</w:t>
      </w:r>
      <w:r>
        <w:rPr>
          <w:i w:val="0"/>
        </w:rPr>
        <w:t xml:space="preserve">, </w:t>
      </w:r>
      <w:r>
        <w:rPr>
          <w:i/>
        </w:rPr>
        <w:t>ATP2A2</w:t>
      </w:r>
      <w:r>
        <w:rPr>
          <w:i w:val="0"/>
        </w:rPr>
        <w:t xml:space="preserve"> and </w:t>
      </w:r>
      <w:r>
        <w:rPr>
          <w:i/>
        </w:rPr>
        <w:t>STIM2</w:t>
      </w:r>
      <w:r>
        <w:rPr>
          <w:i w:val="0"/>
        </w:rPr>
        <w:t xml:space="preserve"> did not retain q &lt; 0.05 after adjustment. The per-gene comparison is provided in source_data/svaseq_sensitivity_SHSY5Y.csv.</w:t>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rPr>
          <w:i w:val="0"/>
        </w:rP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rPr>
          <w:i w:val="0"/>
        </w:rPr>
        <w:t>(Patro et al., 2017)</w:t>
      </w:r>
      <w:r>
        <w:fldChar w:fldCharType="end"/>
      </w:r>
      <w:r>
        <w:rPr>
          <w:i w:val="0"/>
        </w:rP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rPr>
          <w:i w:val="0"/>
        </w:rPr>
        <w:t>(Vitting-Seerup and Sandelin, 2019)</w:t>
      </w:r>
      <w:r>
        <w:fldChar w:fldCharType="end"/>
      </w:r>
      <w:r>
        <w:rPr>
          <w:i w:val="0"/>
        </w:rP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rPr>
          <w:i w:val="0"/>
        </w:rPr>
        <w:t>(Nowicka and Robinson, 2016)</w:t>
      </w:r>
      <w:r>
        <w:fldChar w:fldCharType="end"/>
      </w:r>
      <w:r>
        <w:rPr>
          <w:i w:val="0"/>
        </w:rP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rPr>
          <w:i w:val="0"/>
        </w:rPr>
        <w:t>(Van den Berge et al., 2017)</w:t>
      </w:r>
      <w:r>
        <w:fldChar w:fldCharType="end"/>
      </w:r>
      <w:r>
        <w:rPr>
          <w:i w:val="0"/>
        </w:rPr>
        <w:t xml:space="preserve">, including prediction of open reading frames, premature termination codons, sensitivity to nonsense-mediated decay (NMD) and protein-domain consequences. DRIMSeq gene-level q values describe the screening stage, and stageR supplies transcript-level confirmation. Features with missing DRIMSeq p values are not eligible for confirmation. Separate IsoformSwitchAnalyzeR/DEXSeq isoform-usage results are identified as such and are not stageR confirmation values.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rPr>
          <w:i w:val="0"/>
        </w:rPr>
        <w:t>(Li et al., 2018)</w:t>
      </w:r>
      <w:r>
        <w:fldChar w:fldCharType="end"/>
      </w:r>
      <w:r>
        <w:rPr>
          <w:i w:val="0"/>
        </w:rP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rPr>
          <w:i w:val="0"/>
        </w:rPr>
        <w:t>(Trincado et al., 2018)</w:t>
      </w:r>
      <w:r>
        <w:fldChar w:fldCharType="end"/>
      </w:r>
      <w:r>
        <w:rPr>
          <w:i w:val="0"/>
        </w:rP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rPr>
          <w:i w:val="0"/>
        </w:rPr>
        <w:t xml:space="preserve">Splice junctions were extracted directly from the alignments in two independent ways, to assess sensitivity to the extraction rules.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rPr>
          <w:i w:val="0"/>
        </w:rPr>
        <w:t>(Cotto et al., 2023;</w:t>
      </w:r>
      <w:r>
        <w:rPr>
          <w:i w:val="0"/>
        </w:rPr>
        <w:t xml:space="preserve"> </w:t>
      </w:r>
      <w:r>
        <w:rPr>
          <w:rStyle w:val="VerbatimChar"/>
          <w:i w:val="0"/>
        </w:rPr>
        <w:t>junctions extract -s XS -a 8 -m 50 -M 1000000</w:t>
      </w:r>
      <w:r>
        <w:rPr>
          <w:i w:val="0"/>
        </w:rPr>
        <w:t>)</w:t>
      </w:r>
      <w:r>
        <w:fldChar w:fldCharType="end"/>
      </w:r>
      <w:r>
        <w:rPr>
          <w:i w:val="0"/>
        </w:rP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concordance of direction and significance is reported separately.</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rPr>
          <w:i w:val="0"/>
        </w:rPr>
        <w:t>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rPr>
          <w:i w:val="0"/>
        </w:rPr>
        <w:t xml:space="preserve">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w:t>
      </w:r>
      <w:r>
        <w:fldChar w:fldCharType="end"/>
      </w:r>
      <w:r>
        <w:rPr>
          <w:i w:val="0"/>
        </w:rPr>
        <w:t xml:space="preserve"> and normalised with the authors’ size factors. Sequencing batch is confounded with TDP-43 status in that design, so the interaction was summarised as a difference of within-batch differences for each of the four NMD-inhibition conditions. These contrasts share the same baseline libraries and are not independent biological replicates. We report point estimates descriptively, without inferential p or q values. The contrast definition and gene filter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rPr>
          <w:i w:val="0"/>
        </w:rP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1,640 samples with metadata after filtering)","plainCitation":"(GSE153960; Prudencio et al., 2020; 1,640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1,640 samples with metadata after filtering"}],"schema":"https://github.com/citation-style-language/schema/raw/master/csl-citation.json"} </w:instrText>
      </w:r>
      <w:r>
        <w:fldChar w:fldCharType="separate"/>
      </w:r>
      <w:r>
        <w:rPr>
          <w:i w:val="0"/>
        </w:rPr>
        <w:t>(GSE153960; Prudencio et al., 2020; 1,640 samples with metadata after filtering)</w:t>
      </w:r>
      <w:r>
        <w:fldChar w:fldCharType="end"/>
      </w:r>
      <w:r>
        <w:rPr>
          <w:i w:val="0"/>
        </w:rPr>
        <w:t xml:space="preserve">. Within each region and comparison, genes were retained if counts per million (CPM) exceeded 1 in at least max(10, floor[0.20 × number of samples]) samples. CPM was then recalculated on retained genes and transformed as log2(CPM + 1), followed by per-sample median centring. Comparisons used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rPr>
          <w:i w:val="0"/>
        </w:rPr>
        <w:t>(Cliff, 1993)</w:t>
      </w:r>
      <w:r>
        <w:fldChar w:fldCharType="end"/>
      </w:r>
      <w:r>
        <w:rPr>
          <w:i w:val="0"/>
        </w:rP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rPr>
          <w:i w:val="0"/>
        </w:rPr>
        <w:t xml:space="preserve"> </w:t>
      </w:r>
      <w:r>
        <w:rPr>
          <w:i w:val="0"/>
        </w:rPr>
        <w:t>“Other Neurological Disorders”</w:t>
      </w:r>
      <w:r>
        <w:rPr>
          <w:i w:val="0"/>
        </w:rPr>
        <w:t xml:space="preserve"> </w:t>
      </w:r>
      <w:r>
        <w:rPr>
          <w:i w:val="0"/>
        </w:rPr>
        <w:t>group was compared against the</w:t>
      </w:r>
      <w:r>
        <w:rPr>
          <w:i w:val="0"/>
        </w:rPr>
        <w:t xml:space="preserve"> </w:t>
      </w:r>
      <w:r>
        <w:rPr>
          <w:b/>
          <w:bCs/>
          <w:i w:val="0"/>
        </w:rPr>
        <w:t>same</w:t>
      </w:r>
      <w:r>
        <w:rPr>
          <w:i w:val="0"/>
        </w:rPr>
        <w:t xml:space="preserve"> </w:t>
      </w:r>
      <w:r>
        <w:rPr>
          <w:i w:val="0"/>
        </w:rPr>
        <w:t>non-neurological controls as ALS, so that control-side confounders (RNA quality, post-mortem interval, collection site, library batch) are shared between the two comparisons; case numbers allowed this comparison in three regions. Groups were used as single labels: 266 samples annotated with both ALS Spectrum MND and Other Neurological Disorders, and two annotated with Pre-fALS and Other Neurological Disorders, were assigned to neither group.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rPr>
          <w:i w:val="0"/>
        </w:rPr>
        <w:t xml:space="preserve">The comparison cohorts were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rPr>
          <w:i w:val="0"/>
        </w:rPr>
        <w:t>(GSE125583, fusiform gyrus, 219 cases/70 controls; Srinivasan et al., 2020)</w:t>
      </w:r>
      <w:r>
        <w:fldChar w:fldCharType="end"/>
      </w:r>
      <w:r>
        <w:rPr>
          <w:i w:val="0"/>
        </w:rP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rPr>
          <w:i w:val="0"/>
        </w:rPr>
        <w:t>(GSE68719, prefrontal cortex, Brodmann area 9 [BA9], 29/44; Dumitriu et al., 2016)</w:t>
      </w:r>
      <w:r>
        <w:fldChar w:fldCharType="end"/>
      </w:r>
      <w:r>
        <w:rPr>
          <w:i w:val="0"/>
        </w:rP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rPr>
          <w:i w:val="0"/>
        </w:rPr>
        <w:t>(MS; GSE138614, white matter, 10 MS/5 control donors, 98 samples; Elkjaer et al., 2019; and GSE123496, five brain regions, 5/5 donors; Voskuhl et al., 2019)</w:t>
      </w:r>
      <w:r>
        <w:fldChar w:fldCharType="end"/>
      </w:r>
      <w:r>
        <w:rPr>
          <w:i w:val="0"/>
        </w:rPr>
        <w:t xml:space="preserve">. Alzheimer’s disease used the NYGC filtering and normalisation procedure. For Parkinson’s disease, the supplied gene-expression matrix was filtered at values &gt; 1 in at least floor(0.20 × number of samples) samples, transformed as log2(value + 1) and median-centred. The multiple-sclerosis expression analyses used CPM &gt; 0.40 in at least max(3, floor[0.20 × number of samples]) samples, followed by log2(CPM + 1) and median centring; the GSE138614 marker-adjustment analysis required CPM &gt; 0.40 in at least 20 samples. GSE138614 is white matter, whereas the ALS, Alzheimer’s and Parkinson’s comparisons are predominantly grey matter; the tissue compartment therefore differs and is not controlled for. For multiple sclerosis, </w:t>
      </w:r>
      <w:r>
        <w:rPr>
          <w:i/>
        </w:rPr>
        <w:t>TRPC1</w:t>
      </w:r>
      <w:r>
        <w:rPr>
          <w:i w:val="0"/>
        </w:rPr>
        <w:t xml:space="preserve">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rPr>
          <w:i w:val="0"/>
        </w:rPr>
        <w:t>(Paez et al., 2011)</w:t>
      </w:r>
      <w:r>
        <w:fldChar w:fldCharType="end"/>
      </w:r>
      <w:r>
        <w:rPr>
          <w:i w:val="0"/>
        </w:rPr>
        <w:t xml:space="preserve">, so a fall in </w:t>
      </w:r>
      <w:r>
        <w:rPr>
          <w:i/>
        </w:rPr>
        <w:t>TRPC1</w:t>
      </w:r>
      <w:r>
        <w:rPr>
          <w:i w:val="0"/>
        </w:rPr>
        <w:t xml:space="preserve"> could reflect loss of oligodendrocyte-lineage cells; two additional controls were therefore applied: analysis restricted to normal-appearing white matter, with accompanying myelin-marker measurements, and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rPr>
          <w:i w:val="0"/>
        </w:rPr>
        <w:t>Cell-composition markers (</w:t>
      </w:r>
      <w:r>
        <w:rPr>
          <w:i/>
        </w:rPr>
        <w:t>GFAP</w:t>
      </w:r>
      <w:r>
        <w:rPr>
          <w:i w:val="0"/>
        </w:rPr>
        <w:t xml:space="preserve">, </w:t>
      </w:r>
      <w:r>
        <w:rPr>
          <w:i w:val="0"/>
        </w:rPr>
        <w:t>AIF1</w:t>
      </w:r>
      <w:r>
        <w:rPr>
          <w:i w:val="0"/>
        </w:rPr>
        <w:t xml:space="preserve">, </w:t>
      </w:r>
      <w:r>
        <w:rPr>
          <w:i/>
        </w:rPr>
        <w:t>SNAP25</w:t>
      </w:r>
      <w:r>
        <w:rPr>
          <w:i w:val="0"/>
        </w:rPr>
        <w:t xml:space="preserve">, </w:t>
      </w:r>
      <w:r>
        <w:rPr>
          <w:i/>
        </w:rPr>
        <w:t>RBFOX3</w:t>
      </w:r>
      <w:r>
        <w:rPr>
          <w:i w:val="0"/>
        </w:rPr>
        <w:t xml:space="preserve">, </w:t>
      </w:r>
      <w:r>
        <w:rPr>
          <w:i/>
        </w:rPr>
        <w:t>MBP</w:t>
      </w:r>
      <w:r>
        <w:rPr>
          <w:i w:val="0"/>
        </w:rPr>
        <w:t xml:space="preserve">, </w:t>
      </w:r>
      <w:r>
        <w:rPr>
          <w:i/>
        </w:rPr>
        <w:t>PLP1</w:t>
      </w:r>
      <w:r>
        <w:rPr>
          <w:i w:val="0"/>
        </w:rPr>
        <w:t xml:space="preserve">) were carried through all comparisons. To ask whether the </w:t>
      </w:r>
      <w:r>
        <w:rPr>
          <w:i/>
        </w:rPr>
        <w:t>TRPC1</w:t>
      </w:r>
      <w:r>
        <w:rPr>
          <w:i w:val="0"/>
        </w:rPr>
        <w:t xml:space="preserve"> differences reflected cell composition, </w:t>
      </w:r>
      <w:r>
        <w:rPr>
          <w:i/>
        </w:rPr>
        <w:t>TRPC1</w:t>
      </w:r>
      <w:r>
        <w:rPr>
          <w:i w:val="0"/>
        </w:rPr>
        <w:t xml:space="preserve"> was regressed within each region on a neuronal marker (</w:t>
      </w:r>
      <w:r>
        <w:rPr>
          <w:i/>
        </w:rPr>
        <w:t>SNAP25</w:t>
      </w:r>
      <w:r>
        <w:rPr>
          <w:i w:val="0"/>
        </w:rPr>
        <w:t xml:space="preserve"> or </w:t>
      </w:r>
      <w:r>
        <w:rPr>
          <w:i/>
        </w:rPr>
        <w:t>RBFOX3</w:t>
      </w:r>
      <w:r>
        <w:rPr>
          <w:i w:val="0"/>
        </w:rPr>
        <w:t xml:space="preserve">), alone or together with </w:t>
      </w:r>
      <w:r>
        <w:rPr>
          <w:i/>
        </w:rPr>
        <w:t>GFAP</w:t>
      </w:r>
      <w:r>
        <w:rPr>
          <w:i w:val="0"/>
        </w:rPr>
        <w:t>, by ordinary least squares with an intercept across all samples of the comparison, as for multiple sclerosis; the residuals were compared with the Mann–Whitney U test and Cliff’s δ, with Benjamini–Hochberg correction across regions within each group and model. A donor-level sensitivity analysis averaged normalised expression within donor and region before fitting the marker models or testing group differences. Its correction families were regions within each group, gene and adjustment model; these differ from Table 5’s within-region gene families (Supplementary Table S18d).</w:t>
      </w:r>
    </w:p>
    <w:p>
      <w:pPr>
        <w:pStyle w:val="BodyText"/>
        <w:jc w:val="both"/>
      </w:pPr>
      <w:r>
        <w:rPr>
          <w:i w:val="0"/>
        </w:rPr>
        <w:t>Junction-level quantification of the truncated</w:t>
      </w:r>
      <w:r>
        <w:rPr>
          <w:i w:val="0"/>
        </w:rPr>
        <w:t xml:space="preserve"> </w:t>
      </w:r>
      <w:r>
        <w:rPr>
          <w:i/>
          <w:iCs/>
        </w:rPr>
        <w:t>STMN2</w:t>
      </w:r>
      <w:r>
        <w:rPr>
          <w:i w:val="0"/>
        </w:rPr>
        <w:t xml:space="preserve"> </w:t>
      </w:r>
      <w:r>
        <w:rPr>
          <w:i w:val="0"/>
        </w:rP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rPr>
          <w:i w:val="0"/>
        </w:rPr>
        <w:t>(Wilks et al., 2021)</w:t>
      </w:r>
      <w:r>
        <w:fldChar w:fldCharType="end"/>
      </w:r>
      <w:r>
        <w:rPr>
          <w:i w:val="0"/>
        </w:rP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 The same indicator was computed for the comparison group, on the samples of the expression comparison that reached the read threshold; where a sample had been sequenced as more than one library, the reads were pooled so that each sample counts once. Within that group, associations with cryptic PSI were tested by Spearman correlation and, to assess sensitivity to a neuronal-content marker, by partial Spearman correlation on </w:t>
      </w:r>
      <w:r>
        <w:rPr>
          <w:i/>
        </w:rPr>
        <w:t>SNAP25</w:t>
      </w:r>
      <w:r>
        <w:rPr>
          <w:i w:val="0"/>
        </w:rPr>
        <w:t>.</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rPr>
          <w:i w:val="0"/>
        </w:rP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w:t>
      </w:r>
      <w:r>
        <w:rPr>
          <w:i/>
        </w:rPr>
        <w:t>GAPDH</w:t>
      </w:r>
      <w:r>
        <w:rPr>
          <w:i w:val="0"/>
        </w:rPr>
        <w:t xml:space="preserve"> were run on the same plate with no-template and no-reverse-transcriptase controls, and specificity was checked from a single melt-curve peak. Relative expression was calculated by the 2</w:t>
      </w:r>
      <w:r>
        <w:rPr>
          <w:i w:val="0"/>
          <w:vertAlign w:val="superscript"/>
        </w:rPr>
        <w:t>−ΔΔCt</w:t>
      </w:r>
      <w:r>
        <w:rPr>
          <w:i w:val="0"/>
        </w:rPr>
        <w:t xml:space="preserve"> </w:t>
      </w:r>
      <w:r>
        <w:rPr>
          <w:i w:val="0"/>
        </w:rP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rPr>
          <w:i w:val="0"/>
        </w:rPr>
        <w:t>(Livak and Schmittgen, 2001)</w:t>
      </w:r>
      <w:r>
        <w:fldChar w:fldCharType="end"/>
      </w:r>
      <w:r>
        <w:rPr>
          <w:i w:val="0"/>
        </w:rPr>
        <w:t xml:space="preserve">, with non-transduced cells as the calibrator for </w:t>
      </w:r>
      <w:r>
        <w:rPr>
          <w:i/>
        </w:rPr>
        <w:t>TARDBP</w:t>
      </w:r>
      <w:r>
        <w:rPr>
          <w:i w:val="0"/>
        </w:rPr>
        <w:t xml:space="preserve"> and the non-targeting shRNA control for the target genes (four technical measurements of the same biological sample per group). </w:t>
      </w:r>
      <w:r>
        <w:rPr>
          <w:i/>
        </w:rPr>
        <w:t>TARDBP</w:t>
      </w:r>
      <w:r>
        <w:rPr>
          <w:i w:val="0"/>
        </w:rPr>
        <w:t xml:space="preserve"> and the target genes were measured on separate RNA sets; recorded assay dates were 14 April – 21 May 2026 and 3 June – 10 July 2026, respectively. These dates do not identify independent cultures or RNA isolations. Primer sequences, product sizes, annealing temperatures and the thermal cycling profile are given in Supplementary Table S1.</w:t>
      </w:r>
    </w:p>
    <w:p>
      <w:pPr>
        <w:pStyle w:val="BodyText"/>
        <w:jc w:val="both"/>
      </w:pPr>
      <w:r>
        <w:rPr>
          <w:i/>
        </w:rPr>
        <w:t>GAPDH</w:t>
      </w:r>
      <w:r>
        <w:rPr>
          <w:i w:val="0"/>
        </w:rPr>
        <w:t xml:space="preserve"> was used as the sole reference gene because its mean Ct was similar in the four-target RNA set: 19.49 in non-targeting shRNA controls and 19.50 in shTDP-43 cells (n = 4 each). Amplification efficiencies were not determined for the individual assays, and the 2^(−ΔΔCt) calculation therefore assumes near-equal efficiencies. Lower </w:t>
      </w:r>
      <w:r>
        <w:rPr>
          <w:i/>
        </w:rPr>
        <w:t>TARDBP</w:t>
      </w:r>
      <w:r>
        <w:rPr>
          <w:i w:val="0"/>
        </w:rPr>
        <w:t xml:space="preserve"> mRNA was observed in the RNA set assayed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rPr>
          <w:i w:val="0"/>
        </w:rPr>
        <w:t xml:space="preserve">Non-targeting shRNA control and shTDP-43 cells were prepared for measurement 72 h after transduction, while puromycin selection was still in progress; the RNA protocol of Section 2.13 used day-5 cultures after selection was complete. The available records do not establish sample-level pairing between the RNA sets and Fura-2 measurements. Both groups were seeded at the same density, 40,000 cells per well, onto disinfected glass coverslips in 24-well plates one day before the measurement, and three samples per group came from separate wells of the same culture plate and were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rPr>
          <w:i w:val="0"/>
        </w:rPr>
        <w:t>(excitation 340 and 380 nm, emission 510 nm; Grynkiewicz et al., 1985)</w:t>
      </w:r>
      <w:r>
        <w:fldChar w:fldCharType="end"/>
      </w:r>
      <w:r>
        <w:rPr>
          <w:i w:val="0"/>
        </w:rP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rPr>
          <w:i w:val="0"/>
        </w:rPr>
        <w:t>(2009)</w:t>
      </w:r>
      <w:r>
        <w:fldChar w:fldCharType="end"/>
      </w:r>
      <w:r>
        <w:rPr>
          <w:i w:val="0"/>
        </w:rP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wells on the same plate (n = 3 technical replicates), and both phases were read from the same recording of each well. No independent Fura-2 culture experiment is available for this comparison.</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rPr>
          <w:i w:val="0"/>
        </w:rPr>
        <w:t xml:space="preserve">Bioinformatic thresholds and correction families are specified above. All laboratory comparisons are descriptive. RT-qPCR comprises four technical measurements of the same biological sample per group; the </w:t>
      </w:r>
      <w:r>
        <w:rPr>
          <w:i/>
        </w:rPr>
        <w:t>TARDBP</w:t>
      </w:r>
      <w:r>
        <w:rPr>
          <w:i w:val="0"/>
        </w:rPr>
        <w:t xml:space="preserve"> and target-gene assays used separate RNA sets. Fura-2 comprises three wells per group from one culture plate. WST-1 comprises four wells from one of three experiments; the other two experiments are not available in the package. We report means, technical-repeat or well-to-well SEM, and observed differences without inferential p values, biological confidence intervals or standardised effect sizes. These measurements do not estimate between-experiment variability. The Fura-2 readdition-to-release ratio is also summarised per well.</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rPr>
          <w:i w:val="0"/>
        </w:rPr>
        <w:t xml:space="preserve">Mean </w:t>
      </w:r>
      <w:r>
        <w:rPr>
          <w:i/>
        </w:rPr>
        <w:t>TARDBP</w:t>
      </w:r>
      <w:r>
        <w:rPr>
          <w:i w:val="0"/>
        </w:rPr>
        <w:t xml:space="preserve"> mRNA was 94.4% lower in the shTDP-43 sample than in the non-targeting shRNA sample and 94.8% lower than in the non-transduced sample (four technical RT-qPCR measurements per group; descriptive; Figure 1A).</w:t>
      </w:r>
    </w:p>
    <w:p>
      <w:pPr>
        <w:pStyle w:val="BodyText"/>
        <w:jc w:val="both"/>
      </w:pPr>
      <w:r>
        <w:rPr>
          <w:i w:val="0"/>
        </w:rPr>
        <w:t xml:space="preserve">Relative to the non-targeting shRNA sample, mean measurements of four SOCE-associated mRNAs were higher: </w:t>
      </w:r>
      <w:r>
        <w:rPr>
          <w:i/>
        </w:rPr>
        <w:t>TRPC1</w:t>
      </w:r>
      <w:r>
        <w:rPr>
          <w:i w:val="0"/>
        </w:rPr>
        <w:t xml:space="preserve"> ≈ 1.8-fold, </w:t>
      </w:r>
      <w:r>
        <w:rPr>
          <w:i/>
        </w:rPr>
        <w:t>STIM1</w:t>
      </w:r>
      <w:r>
        <w:rPr>
          <w:i w:val="0"/>
        </w:rPr>
        <w:t xml:space="preserve"> ≈ 1.9-fold, </w:t>
      </w:r>
      <w:r>
        <w:rPr>
          <w:i/>
        </w:rPr>
        <w:t>ORAI1</w:t>
      </w:r>
      <w:r>
        <w:rPr>
          <w:i w:val="0"/>
        </w:rPr>
        <w:t xml:space="preserve"> ≈ 1.7-fold and </w:t>
      </w:r>
      <w:r>
        <w:rPr>
          <w:i/>
        </w:rPr>
        <w:t>ATP2A3</w:t>
      </w:r>
      <w:r>
        <w:rPr>
          <w:i w:val="0"/>
        </w:rPr>
        <w:t>/SERCA3 ≈ 3.2-fold (four technical measurements per group; Figure 1B). These descriptive differences require biological replication.</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rPr>
          <w:i w:val="0"/>
        </w:rPr>
        <w:t xml:space="preserve"> All four directions matched the RNA-seq results in the same cell line (</w:t>
      </w:r>
      <w:r>
        <w:rPr>
          <w:i/>
          <w:iCs/>
        </w:rPr>
        <w:t>STIM1</w:t>
      </w:r>
      <w:r>
        <w:rPr>
          <w:i w:val="0"/>
        </w:rPr>
        <w:t xml:space="preserve"> </w:t>
      </w:r>
      <w:r>
        <w:rPr>
          <w:i w:val="0"/>
        </w:rPr>
        <w:t>log2FC = 0.929, p_adj = 4.3 × 10⁻⁴⁷;</w:t>
      </w:r>
      <w:r>
        <w:rPr>
          <w:i w:val="0"/>
        </w:rPr>
        <w:t xml:space="preserve"> </w:t>
      </w:r>
      <w:r>
        <w:rPr>
          <w:i/>
          <w:iCs/>
        </w:rPr>
        <w:t>TRPC1</w:t>
      </w:r>
      <w:r>
        <w:rPr>
          <w:i w:val="0"/>
        </w:rPr>
        <w:t xml:space="preserve"> </w:t>
      </w:r>
      <w:r>
        <w:rPr>
          <w:i w:val="0"/>
        </w:rPr>
        <w:t>0.958, 1.3 × 10⁻¹²;</w:t>
      </w:r>
      <w:r>
        <w:rPr>
          <w:i w:val="0"/>
        </w:rPr>
        <w:t xml:space="preserve"> </w:t>
      </w:r>
      <w:r>
        <w:rPr>
          <w:i/>
          <w:iCs/>
        </w:rPr>
        <w:t>ORAI1</w:t>
      </w:r>
      <w:r>
        <w:rPr>
          <w:i w:val="0"/>
        </w:rPr>
        <w:t xml:space="preserve"> </w:t>
      </w:r>
      <w:r>
        <w:rPr>
          <w:i w:val="0"/>
        </w:rPr>
        <w:t>0.433, 2.4 × 10⁻⁴;</w:t>
      </w:r>
      <w:r>
        <w:rPr>
          <w:i w:val="0"/>
        </w:rPr>
        <w:t xml:space="preserve"> </w:t>
      </w:r>
      <w:r>
        <w:rPr>
          <w:i/>
          <w:iCs/>
        </w:rPr>
        <w:t>ATP2A3</w:t>
      </w:r>
      <w:r>
        <w:rPr>
          <w:i w:val="0"/>
        </w:rPr>
        <w:t xml:space="preserve"> </w:t>
      </w:r>
      <w:r>
        <w:rPr>
          <w:i w:val="0"/>
        </w:rPr>
        <w:t>1.306, 1.4 × 10⁻²⁹).</w:t>
      </w:r>
    </w:p>
    <w:p>
      <w:pPr>
        <w:keepNext/>
        <w:pageBreakBefore/>
        <w:spacing w:before="0" w:after="140"/>
        <w:jc w:val="center"/>
      </w:pPr>
      <w:r>
        <w:drawing>
          <wp:inline>
            <wp:extent cx="5532120" cy="2335784"/>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35784"/>
                    </a:xfrm>
                    <a:prstGeom prst="rect"/>
                  </pic:spPr>
                </pic:pic>
              </a:graphicData>
            </a:graphic>
          </wp:inline>
        </w:drawing>
      </w:r>
    </w:p>
    <w:p>
      <w:pPr>
        <w:pStyle w:val="Caption"/>
        <w:keepLines/>
        <w:spacing w:line="269" w:lineRule="auto" w:after="200"/>
        <w:jc w:val="both"/>
      </w:pPr>
      <w:r>
        <w:rPr>
          <w:rFonts w:ascii="Times New Roman" w:hAnsi="Times New Roman"/>
          <w:b/>
          <w:i/>
          <w:sz w:val="19"/>
        </w:rPr>
        <w:t>Figure 1.</w:t>
      </w:r>
      <w:r>
        <w:rPr>
          <w:rFonts w:ascii="Times New Roman" w:hAnsi="Times New Roman"/>
          <w:b w:val="0"/>
          <w:i/>
          <w:sz w:val="19"/>
        </w:rPr>
        <w:t xml:space="preserve"> Descriptive laboratory measurements in SH-SY5Y cells. (A) </w:t>
      </w:r>
      <w:r>
        <w:rPr>
          <w:rFonts w:ascii="Times New Roman" w:hAnsi="Times New Roman"/>
          <w:b w:val="0"/>
          <w:i/>
          <w:sz w:val="19"/>
        </w:rPr>
        <w:t>TARDBP</w:t>
      </w:r>
      <w:r>
        <w:rPr>
          <w:rFonts w:ascii="Times New Roman" w:hAnsi="Times New Roman"/>
          <w:b w:val="0"/>
          <w:i/>
          <w:sz w:val="19"/>
        </w:rPr>
        <w:t xml:space="preserve"> mRNA in untransduced, non-targeting shRNA and shTDP-43 samples. (B) Relative </w:t>
      </w:r>
      <w:r>
        <w:rPr>
          <w:rFonts w:ascii="Times New Roman" w:hAnsi="Times New Roman"/>
          <w:b w:val="0"/>
          <w:i/>
          <w:sz w:val="19"/>
        </w:rPr>
        <w:t>TRPC1</w:t>
      </w:r>
      <w:r>
        <w:rPr>
          <w:rFonts w:ascii="Times New Roman" w:hAnsi="Times New Roman"/>
          <w:b w:val="0"/>
          <w:i/>
          <w:sz w:val="19"/>
        </w:rPr>
        <w:t xml:space="preserve">, </w:t>
      </w:r>
      <w:r>
        <w:rPr>
          <w:rFonts w:ascii="Times New Roman" w:hAnsi="Times New Roman"/>
          <w:b w:val="0"/>
          <w:i/>
          <w:sz w:val="19"/>
        </w:rPr>
        <w:t>STIM1</w:t>
      </w:r>
      <w:r>
        <w:rPr>
          <w:rFonts w:ascii="Times New Roman" w:hAnsi="Times New Roman"/>
          <w:b w:val="0"/>
          <w:i/>
          <w:sz w:val="19"/>
        </w:rPr>
        <w:t xml:space="preserve">, </w:t>
      </w:r>
      <w:r>
        <w:rPr>
          <w:rFonts w:ascii="Times New Roman" w:hAnsi="Times New Roman"/>
          <w:b w:val="0"/>
          <w:i/>
          <w:sz w:val="19"/>
        </w:rPr>
        <w:t>ORAI1</w:t>
      </w:r>
      <w:r>
        <w:rPr>
          <w:rFonts w:ascii="Times New Roman" w:hAnsi="Times New Roman"/>
          <w:b w:val="0"/>
          <w:i/>
          <w:sz w:val="19"/>
        </w:rPr>
        <w:t xml:space="preserve"> and </w:t>
      </w:r>
      <w:r>
        <w:rPr>
          <w:rFonts w:ascii="Times New Roman" w:hAnsi="Times New Roman"/>
          <w:b w:val="0"/>
          <w:i/>
          <w:sz w:val="19"/>
        </w:rPr>
        <w:t>ATP2A3</w:t>
      </w:r>
      <w:r>
        <w:rPr>
          <w:rFonts w:ascii="Times New Roman" w:hAnsi="Times New Roman"/>
          <w:b w:val="0"/>
          <w:i/>
          <w:sz w:val="19"/>
        </w:rPr>
        <w:t xml:space="preserve"> mRNA. Each RT-qPCR group comprises four technical measurements of the same biological sample; panels A and B use separate RNA sets. (C) WST-1 signal at 48 h, four wells from one experiment. Bars show means with technical-repeat or well-to-well SEM; dots show individual measurements. No inferential significance tests are assigned to these comparisons.</w:t>
      </w:r>
      <w:r>
        <w:rPr>
          <w:rFonts w:ascii="Times New Roman" w:hAnsi="Times New Roman"/>
          <w:b w:val="0"/>
          <w:i/>
          <w:sz w:val="19"/>
        </w:rPr>
        <w:t xml:space="preserve"/>
      </w:r>
    </w:p>
    <w:p>
      <w:pPr>
        <w:pStyle w:val="BodyText"/>
        <w:jc w:val="both"/>
      </w:pPr>
      <w:r>
        <w:rPr>
          <w:i w:val="0"/>
        </w:rPr>
        <w:t>The Fura-2 Ca²⁺-readdition amplitude was markedly lower in shTDP-43 cells (Figure 2). The readdition amplitude was 1.542 ± 0.282 in control wells and 0.245 ± 0.083 Δ(F340/F380) in knockdown wells (mean ± well-to-well SEM, three wells per group on one plate; difference −1.30, or 84% of the control mean). The observed ranges were 1.013–1.975 and 0.080–0.338, respectively. ER Ca²⁺ release was 0.268 ± 0.042 and 0.180 ± 0.061 (difference −0.088, or 33% of the control mean). Because both phases came from the same recording, readdition was also expressed relative to each well’s own release. This ratio was 5.88 ± 1.10 in controls and 1.36 ± 0.01 after knockdown, 77% lower; every knockdown well had a lower ratio than every control well (Supplementary Table S1). The ratio describes the within-plate pattern but does not isolate store depletion, influx or clearance, and cannot establish replication across independent cultures.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measured mRNAs and the within-plate Fura-2 response therefore moved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three wells per group from one culture plate and mean ± well-to-well SEM; the comparisons are descriptive and no inferential test is shown.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Higher </w:t>
      </w:r>
      <w:r>
        <w:rPr>
          <w:i/>
        </w:rPr>
        <w:t>ORAI3</w:t>
      </w:r>
      <w:r>
        <w:rPr>
          <w:i w:val="0"/>
        </w:rPr>
        <w:t xml:space="preserve"> and </w:t>
      </w:r>
      <w:r>
        <w:rPr>
          <w:i/>
        </w:rPr>
        <w:t>SARAF</w:t>
      </w:r>
      <w:r>
        <w:rPr>
          <w:i w:val="0"/>
        </w:rPr>
        <w:t xml:space="preserve"> transcripts suggest two candidate routes to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within-plate response,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hypotheses for the lower calcium-readdition signal observed in one laboratory plate.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returned fewer calls on the same libraries. It tested 31,474 events in 5,345 genes and returned no event meeting the shared FDR and |ΔPSI| ≥ 0.10 thresholds. Among 9,369 skipped-exon events matched by coordinates, the tools agreed weakly on ΔPSI (Spearman ρ = 0.319; 62.4% directional concordance). SUPPA2 uses between-replicate ΔPSI variation to construct its null. The limited agreement indicates method sensitivity; this comparison does not identify which method is better calibrated.</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rPr>
          <w:i w:val="0"/>
        </w:rPr>
        <w:t>In the primary SH-SY5Y model these were</w:t>
      </w:r>
      <w:r>
        <w:rPr>
          <w:i w:val="0"/>
        </w:rPr>
        <w:t xml:space="preserve"> </w:t>
      </w:r>
      <w:r>
        <w:rPr>
          <w:i/>
          <w:iCs/>
        </w:rPr>
        <w:t>STIMATE</w:t>
      </w:r>
      <w:r>
        <w:rPr>
          <w:i w:val="0"/>
        </w:rPr>
        <w:t xml:space="preserve"> </w:t>
      </w:r>
      <w:r>
        <w:rPr>
          <w:i w:val="0"/>
        </w:rPr>
        <w:t>(ΔPSI = +0.244; FDR = 9.0 × 10⁻⁷; 95% CI +0.095 to +0.368),</w:t>
      </w:r>
      <w:r>
        <w:rPr>
          <w:i w:val="0"/>
        </w:rPr>
        <w:t xml:space="preserve"> </w:t>
      </w:r>
      <w:r>
        <w:rPr>
          <w:i/>
          <w:iCs/>
        </w:rPr>
        <w:t>ORAI3</w:t>
      </w:r>
      <w:r>
        <w:rPr>
          <w:i w:val="0"/>
        </w:rPr>
        <w:t xml:space="preserve"> </w:t>
      </w:r>
      <w:r>
        <w:rPr>
          <w:i w:val="0"/>
        </w:rPr>
        <w:t>(−0.269; 1.0 × 10⁻²; −0.404 to −0.107) and</w:t>
      </w:r>
      <w:r>
        <w:rPr>
          <w:i w:val="0"/>
        </w:rPr>
        <w:t xml:space="preserve"> </w:t>
      </w:r>
      <w:r>
        <w:rPr>
          <w:i/>
          <w:iCs/>
        </w:rPr>
        <w:t>STIM2</w:t>
      </w:r>
      <w:r>
        <w:rPr>
          <w:i w:val="0"/>
        </w:rPr>
        <w:t xml:space="preserve"> </w:t>
      </w:r>
      <w:r>
        <w:rPr>
          <w:i w:val="0"/>
        </w:rPr>
        <w:t>(−0.120; &lt; 1 × 10⁻¹⁶; −0.165 to −0.064). A</w:t>
      </w:r>
      <w:r>
        <w:rPr>
          <w:i w:val="0"/>
        </w:rPr>
        <w:t xml:space="preserve"> </w:t>
      </w:r>
      <w:r>
        <w:rPr>
          <w:i/>
          <w:iCs/>
        </w:rPr>
        <w:t>STIM1</w:t>
      </w:r>
      <w:r>
        <w:rPr>
          <w:i w:val="0"/>
        </w:rPr>
        <w:t xml:space="preserve"> </w:t>
      </w:r>
      <w:r>
        <w:rPr>
          <w:i w:val="0"/>
        </w:rPr>
        <w:t xml:space="preserve">event (chr11:4,088,702–4,088,738; 37 bp, frame-disrupting) reached ΔPSI = +0.145 (FDR = 4.0 × 10⁻⁴) with a confidence interval marginally including zero, and was positive in all three human datasets. Isoform-level testing placed </w:t>
      </w:r>
      <w:r>
        <w:rPr>
          <w:i/>
        </w:rPr>
        <w:t>STIM1</w:t>
      </w:r>
      <w:r>
        <w:rPr>
          <w:i w:val="0"/>
        </w:rPr>
        <w:t xml:space="preserve"> among the genes with differential isoform usage at the screening stage (DRIMSeq gene-level q = 5.49 × 10⁻⁷), but none of seven evaluable transcripts passed stageR confirmation (all confirmation-stage adjusted p values = 1.0). Two additional transcripts in the DRIMSeq output, ENST00000698912.1 and ENST00000698913.1, had missing p values and were not evaluated by stageR (Supplementary source data).</w:t>
      </w:r>
      <w:r>
        <w:rPr>
          <w:i/>
        </w:rPr>
        <w:t xml:space="preserve"/>
      </w:r>
      <w:r>
        <w:rPr>
          <w:i w:val="0"/>
        </w:rPr>
        <w:t xml:space="preserve"> In the separate IsoformSwitchAnalyzeR/DEXSeq analysis, the two predicted premature-termination-codon (PTC) isoforms had q = 0.33 and 0.77. The two isoforms with significant usage changes were ENST00000698912.1 and ENST00000698913.1, neither predicted to carry a PTC; their stageR confirmation was unavailable. No confirmed PTC-associated isoform switch was identified.</w:t>
      </w:r>
      <w:r>
        <w:rPr>
          <w:i/>
        </w:rPr>
        <w:t xml:space="preserve"/>
      </w:r>
      <w:r>
        <w:t xml:space="preserve"/>
      </w:r>
      <w:r>
        <w:t xml:space="preserve"/>
      </w:r>
      <w:r>
        <w:rPr>
          <w:i/>
          <w:iCs/>
        </w:rPr>
        <w:t xml:space="preserve"/>
      </w:r>
      <w:r>
        <w:t xml:space="preserve"/>
      </w:r>
      <w:r>
        <w:t xml:space="preserve"/>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i w:val="0"/>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i w:val="0"/>
        </w:rPr>
        <w:t xml:space="preserve"> and </w:t>
      </w:r>
      <w:r>
        <w:rPr>
          <w:i/>
        </w:rPr>
        <w:t>KALRN</w:t>
      </w:r>
      <w:r>
        <w:rPr>
          <w:i w:val="0"/>
        </w:rPr>
        <w:t>). This dataset is too shallow for the high-confidence threshold to recover a control in any of the three comparisons (18, 26 and 23 events, none of them a control gene), and two controls against none is not by itself a significant difference (Fisher’s exact test p = 0.48), so this matched comparison does not establish specificity. Deeper TDP-43 comparisons recovered thirteen of sixteen positive controls in SH-SY5Y and fifteen in iPSC colonies, supporting sensitivity to known targets in those models. The FUS/TAF15 comparison remains descriptive.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i w:val="0"/>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i w:val="0"/>
        </w:rPr>
        <w:t xml:space="preserve"> junction in iPSC colonies, called there together with </w:t>
      </w:r>
      <w:r>
        <w:rPr>
          <w:i/>
        </w:rPr>
        <w:t>TRPM3</w:t>
      </w:r>
      <w:r>
        <w:rPr>
          <w:i w:val="0"/>
        </w:rPr>
        <w:t xml:space="preserve">; </w:t>
      </w:r>
      <w:r>
        <w:rPr>
          <w:i/>
        </w:rPr>
        <w:t>STIM1</w:t>
      </w:r>
      <w:r>
        <w:rPr>
          <w:i w:val="0"/>
        </w:rPr>
        <w:t xml:space="preserve">, </w:t>
      </w:r>
      <w:r>
        <w:rPr>
          <w:i/>
        </w:rPr>
        <w:t>STIM2</w:t>
      </w:r>
      <w:r>
        <w:rPr>
          <w:i w:val="0"/>
        </w:rPr>
        <w:t xml:space="preserve">, </w:t>
      </w:r>
      <w:r>
        <w:rPr>
          <w:i/>
        </w:rPr>
        <w:t>ORAI1</w:t>
      </w:r>
      <w:r>
        <w:rPr>
          <w:i w:val="0"/>
        </w:rPr>
        <w:t xml:space="preserve">–3, </w:t>
      </w:r>
      <w:r>
        <w:rPr>
          <w:i/>
        </w:rPr>
        <w:t>TRPC1</w:t>
      </w:r>
      <w:r>
        <w:rPr>
          <w:i w:val="0"/>
        </w:rPr>
        <w:t xml:space="preserve">, </w:t>
      </w:r>
      <w:r>
        <w:rPr>
          <w:i/>
        </w:rPr>
        <w:t>SARAF</w:t>
      </w:r>
      <w:r>
        <w:rPr>
          <w:i w:val="0"/>
        </w:rPr>
        <w:t xml:space="preserve">, </w:t>
      </w:r>
      <w:r>
        <w:rPr>
          <w:i/>
        </w:rPr>
        <w:t>STIMATE</w:t>
      </w:r>
      <w:r>
        <w:rPr>
          <w:i w:val="0"/>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i w:val="0"/>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within-plate Fura-2 difference.</w:t>
      </w:r>
    </w:p>
    <w:p>
      <w:pPr>
        <w:pStyle w:val="BodyText"/>
        <w:jc w:val="both"/>
      </w:pPr>
      <w:r>
        <w:rPr>
          <w:i w:val="0"/>
        </w:rPr>
        <w:t>What the annotation-free analysis did confirm were the annotated events.</w:t>
      </w:r>
      <w:r>
        <w:rPr>
          <w:i w:val="0"/>
        </w:rPr>
        <w:t xml:space="preserve"> </w:t>
      </w:r>
      <w:r>
        <w:rPr>
          <w:i/>
          <w:iCs/>
        </w:rPr>
        <w:t>CBARP</w:t>
      </w:r>
      <w:r>
        <w:rPr>
          <w:i w:val="0"/>
          <w:iCs/>
        </w:rPr>
        <w:t xml:space="preserve"> showed the largest local change of any SOCE gene in SH-SY5Y, in the junction from exon 4 to the alternative 3′ splice site (ΔPSI +0.74</w:t>
      </w:r>
      <w:r>
        <w:t xml:space="preserve"/>
      </w:r>
      <w:r>
        <w:rPr>
          <w:i w:val="0"/>
        </w:rPr>
        <w:t xml:space="preserve">, 95% CI +0.51 to +0.83, q = 2.7 × 10⁻¹²; +0.76, q = 5.6 × 10⁻¹⁷ in the regtools set), and one arm of the </w:t>
      </w:r>
      <w:r>
        <w:rPr>
          <w:i/>
        </w:rPr>
        <w:t>CBARP</w:t>
      </w:r>
      <w:r>
        <w:rPr>
          <w:i w:val="0"/>
        </w:rPr>
        <w:t xml:space="preserve"> event uses a splice site absent from the annotation (Supplementary Figure S3).</w:t>
      </w:r>
      <w:r>
        <w:t xml:space="preserve"/>
      </w:r>
      <w:r>
        <w:rPr>
          <w:i/>
          <w:iCs/>
        </w:rPr>
        <w:t xml:space="preserve"/>
      </w:r>
      <w:r>
        <w:t xml:space="preserve"/>
      </w:r>
      <w:r>
        <w:rPr>
          <w:i w:val="0"/>
        </w:rPr>
        <w:t xml:space="preserve"> This is the third method, after rMATS with</w:t>
      </w:r>
      <w:r>
        <w:rPr>
          <w:i w:val="0"/>
        </w:rPr>
        <w:t xml:space="preserve"> </w:t>
      </w:r>
      <w:r>
        <w:rPr>
          <w:rStyle w:val="VerbatimChar"/>
          <w:i w:val="0"/>
        </w:rPr>
        <w:t>--novelSS</w:t>
      </w:r>
      <w:r>
        <w:rPr>
          <w:i w:val="0"/>
        </w:rPr>
        <w:t xml:space="preserve"> </w:t>
      </w:r>
      <w:r>
        <w:rPr>
          <w:i w:val="0"/>
        </w:rPr>
        <w:t>and LeafCutter, to converge on this locus; isoform-level testing did not detect a</w:t>
      </w:r>
      <w:r>
        <w:rPr>
          <w:i w:val="0"/>
        </w:rPr>
        <w:t xml:space="preserve"> </w:t>
      </w:r>
      <w:r>
        <w:rPr>
          <w:i/>
          <w:iCs/>
        </w:rPr>
        <w:t>CBARP</w:t>
      </w:r>
      <w:r>
        <w:rPr>
          <w:i w:val="0"/>
        </w:rPr>
        <w:t xml:space="preserve"> </w:t>
      </w:r>
      <w:r>
        <w:rPr>
          <w:i w:val="0"/>
        </w:rPr>
        <w:t>isoform switch (IsoformSwitchAnalyzeR gene-level q = 0.12; DRIMSeq q = 0.34). The same unannotated</w:t>
      </w:r>
      <w:r>
        <w:rPr>
          <w:i w:val="0"/>
        </w:rPr>
        <w:t xml:space="preserve"> </w:t>
      </w:r>
      <w:r>
        <w:rPr>
          <w:i/>
          <w:iCs/>
        </w:rPr>
        <w:t>CBARP</w:t>
      </w:r>
      <w:r>
        <w:rPr>
          <w:i w:val="0"/>
        </w:rPr>
        <w:t xml:space="preserve"> </w:t>
      </w:r>
      <w:r>
        <w:rPr>
          <w:i w:val="0"/>
        </w:rPr>
        <w:t>splice site was recovered independently in iPSC colonies (ΔPSI +0.33, q = 4.3 × 10⁻¹⁶, 201 versus 137 reads), where it met the cryptic criteria outright.</w:t>
      </w:r>
      <w:r>
        <w:rPr>
          <w:i w:val="0"/>
        </w:rPr>
        <w:t xml:space="preserve"> </w:t>
      </w:r>
      <w:r>
        <w:rPr>
          <w:i/>
          <w:iCs/>
        </w:rPr>
        <w:t>ORAI2</w:t>
      </w:r>
      <w:r>
        <w:rPr>
          <w:i w:val="0"/>
        </w:rPr>
        <w:t>,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rPr>
          <w:i w:val="0"/>
        </w:rPr>
        <w:t xml:space="preserve">One specific mechanism could be tested directly. Inclusion of a 24-nucleotide exon in the STIM–ORAI activating region (SOAR) converts </w:t>
      </w:r>
      <w:r>
        <w:rPr>
          <w:i/>
        </w:rPr>
        <w:t>STIM2</w:t>
      </w:r>
      <w:r>
        <w:rPr>
          <w:i w:val="0"/>
        </w:rPr>
        <w:t xml:space="preserve"> into </w:t>
      </w:r>
      <w:r>
        <w:rPr>
          <w:i/>
        </w:rPr>
        <w:t>STIM2</w:t>
      </w:r>
      <w:r>
        <w:rPr>
          <w:i w:val="0"/>
        </w:rPr>
        <w:t xml:space="preserve">.1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rPr>
          <w:i w:val="0"/>
        </w:rPr>
        <w:t>(Miederer et al., 2015; Rana et al., 2015)</w:t>
      </w:r>
      <w:r>
        <w:fldChar w:fldCharType="end"/>
      </w:r>
      <w:r>
        <w:rPr>
          <w:i w:val="0"/>
        </w:rP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both flanks of the exon (chr4:27,007,983–27,008,006 in humans) were considered. Sixteen flanking-junction records were measurable across seven TDP-43 comparisons and the FUS/TAF15 controls; direction was positive in six TDP-43 comparisons and negative in C2C12. The human downstream estimates included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junctions sharing the downstream acceptor. In C2C12, the upstream and downstream estimates were −0.026 and −0.019 (q = 0.54 and 0.76); in NSC34 they were +0.021 and +0.031 (q = 0.73 and 0.50). These junction summaries do not alter the independently computed rMATS meta-analysis, which did not detect a shared shift.</w:t>
      </w:r>
    </w:p>
    <w:p>
      <w:pPr>
        <w:pStyle w:val="BodyText"/>
        <w:jc w:val="both"/>
      </w:pPr>
      <w:r>
        <w:rPr/>
        <w:t>An outlier-based method, FRASER, returned no genome-wide significant outlier and no difference in per-sample outlier burden between depleted and control libraries. The small cohort and predominance of depleted samples limit interpretation of this result (Supplementary Results 1).</w:t>
      </w:r>
    </w:p>
    <w:bookmarkEnd w:id="32"/>
    <w:bookmarkStart w:id="33" w:name="X95f51b20e2575a9f68bf5a1f46ea9d9988a1c39"/>
    <w:p>
      <w:pPr>
        <w:pStyle w:val="Heading3"/>
        <w:rPr>
          <w:b w:val="1"/>
        </w:rPr>
        <w:jc w:val="left"/>
      </w:pPr>
      <w:r>
        <w:rPr>
          <w:b w:val="1"/>
        </w:rPr>
        <w:t xml:space="preserve">3.6 Descriptive NMD interactions do not establish an NMD target</w:t>
      </w:r>
    </w:p>
    <w:p>
      <w:pPr>
        <w:pStyle w:val="FirstParagraph"/>
        <w:jc w:val="both"/>
      </w:pPr>
      <w:r>
        <w:rPr>
          <w:i w:val="0"/>
        </w:rPr>
        <w:t xml:space="preserve">The TDP-43 × NMD-inhibition experiment (GSE307054) was examined descriptively because its four contrasts share baseline libraries and TDP-43 status is confounded with sequencing batch (Methods 2.8; Supplementary Results 2; Supplementary Figure S5). </w:t>
      </w:r>
      <w:r>
        <w:rPr>
          <w:i/>
        </w:rPr>
        <w:t>CBARP</w:t>
      </w:r>
      <w:r>
        <w:rPr>
          <w:i w:val="0"/>
        </w:rPr>
        <w:t xml:space="preserve"> had a mean interaction of +1.52 log₂, positive in all four conditions (range +1.19 to +2.23; Supplementary Table S10). This is a candidate pattern, not evidence that </w:t>
      </w:r>
      <w:r>
        <w:rPr>
          <w:i/>
        </w:rPr>
        <w:t>CBARP</w:t>
      </w:r>
      <w:r>
        <w:rPr>
          <w:i w:val="0"/>
        </w:rPr>
        <w:t xml:space="preserve"> is an NMD target. The literature cryptic-splicing reference genes were not selected as validated NMD-rescue controls, and gene-level counts can dilute an isoform-specific response. Their descriptive panel summary therefore does not establish assay sensitivity or make a negative SOCE result conclusive (Supplementary Table S10b).</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rPr>
          <w:i w:val="0"/>
        </w:rPr>
        <w:t xml:space="preserve">The mouse datasets yielded 74 qualifying units in C2C12 and 131 in NSC34. Neither had a validated positive control for this coverage assay: the </w:t>
      </w:r>
      <w:r>
        <w:t xml:space="preserve"/>
      </w:r>
      <w:r>
        <w:rPr>
          <w:i/>
          <w:iCs/>
        </w:rPr>
        <w:t>STMN2</w:t>
      </w:r>
      <w:r>
        <w:rPr>
          <w:i w:val="0"/>
        </w:rPr>
        <w:t xml:space="preserve"> </w:t>
      </w:r>
      <w:r>
        <w:rPr>
          <w:i w:val="0"/>
        </w:rP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rPr>
          <w:i w:val="0"/>
        </w:rPr>
        <w:t>(Melamed et al., 2019)</w:t>
      </w:r>
      <w:r>
        <w:fldChar w:fldCharType="end"/>
      </w:r>
      <w:r>
        <w:rPr>
          <w:i w:val="0"/>
        </w:rPr>
        <w:t>. Negative results therefore have limited interpretability.</w:t>
      </w:r>
      <w:r>
        <w:t xml:space="preserve"/>
      </w:r>
      <w:r>
        <w:rPr>
          <w:i/>
          <w:iCs/>
        </w:rPr>
        <w:t xml:space="preserve"/>
      </w:r>
      <w:r>
        <w:t xml:space="preserve"/>
      </w:r>
      <w:r>
        <w:rPr>
          <w:i w:val="0"/>
        </w:rPr>
        <w:t xml:space="preserve"> No SOCE-machinery unit exceeded |Δ| = 0.30 in either line. Positive gradients occurred in units labelled intron 5 at the human </w:t>
      </w:r>
      <w:r>
        <w:rPr>
          <w:i/>
        </w:rPr>
        <w:t>SARAF</w:t>
      </w:r>
      <w:r>
        <w:rPr>
          <w:i w:val="0"/>
        </w:rPr>
        <w:t xml:space="preserve"> locus (+0.097 in iPSC-derived motor neurons) and the mouse </w:t>
      </w:r>
      <w:r>
        <w:rPr>
          <w:i/>
        </w:rPr>
        <w:t>Saraf</w:t>
      </w:r>
      <w:r>
        <w:rPr>
          <w:i w:val="0"/>
        </w:rPr>
        <w:t xml:space="preserve"> locus (+0.204 in NSC34); the human SH-SY5Y estimate was 0.000. The units were matched by ordinal label, not sequence alignment, so these observations do not demonstrate recurrence of the same RNA event across species. They remain gene-level candidates (Supplementary Results 3).</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rPr>
          <w:i w:val="0"/>
        </w:rPr>
        <w:t>Taken together, these analyses support altered calcium-related RNA profiles but do not establish whether any SOCE-machinery gene is a direct target of cryptic splicing, APA or NMD-coupled degradation. The NMD and APA screens are hypothesis-generating: the first because its contrasts share controls and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Matched analyses do not establish enrichment of splicing changes in Ca²⁺ genes</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rPr>
          <w:i w:val="0"/>
        </w:rPr>
        <w:t>Two of the 24 dataset–panel combinations had nominal permutation p &lt; 0.05 after matching. Neither survived adjustment for the number of comparisons. The panels are nested, and the number of nominal results does not establish enrichment or identify chance as their cause. In the primary model, matching for gene properties reduced the apparent excess without demonstrating a remaining enrichment (Supplementary Table S4).</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The lack of a statistically significant TRPC1 difference does not establish equivalence, particularly in the smaller regional comparisons.</w:t>
      </w:r>
    </w:p>
    <w:p>
      <w:pPr>
        <w:pStyle w:val="BodyText"/>
        <w:jc w:val="both"/>
      </w:pPr>
      <w:r>
        <w:rPr>
          <w:i w:val="0"/>
        </w:rPr>
        <w:t xml:space="preserve">Because </w:t>
      </w:r>
      <w:r>
        <w:rPr>
          <w:i/>
        </w:rPr>
        <w:t>TRPC1</w:t>
      </w:r>
      <w:r>
        <w:rPr>
          <w:i w:val="0"/>
        </w:rPr>
        <w:t xml:space="preserve"> followed neuronal content in every group and region (Spearman ρ with </w:t>
      </w:r>
      <w:r>
        <w:rPr>
          <w:i/>
        </w:rPr>
        <w:t>SNAP25</w:t>
      </w:r>
      <w:r>
        <w:rPr>
          <w:i w:val="0"/>
        </w:rPr>
        <w:t xml:space="preserve"> = 0.34 to 0.86; Supplementary Table S18c), we regressed it on cell-composition markers (Methods 2.11). The ALS increase was attenuated but not reversed: in the six regions in which it was significant, the adjusted δ remained positive under every marker combination (+0.26 to +0.66), and it remained significant in cerebellum, frontal cortex and medial motor cortex whichever markers were used, and in all six regions after adjustment for </w:t>
      </w:r>
      <w:r>
        <w:rPr>
          <w:i/>
        </w:rPr>
        <w:t>RBFOX3</w:t>
      </w:r>
      <w:r>
        <w:rPr>
          <w:i w:val="0"/>
        </w:rPr>
        <w:t xml:space="preserve"> (Supplementary Table S18). Only the ALS cerebellar expression comparison included repeated donor samples: 158 samples represented 147 donors. After averaging within donors, </w:t>
      </w:r>
      <w:r>
        <w:rPr>
          <w:i/>
        </w:rPr>
        <w:t>TRPC1</w:t>
      </w:r>
      <w:r>
        <w:rPr>
          <w:i w:val="0"/>
        </w:rPr>
        <w:t xml:space="preserve"> remained higher (δ = +0.532, q = 2.3 × 10⁻⁶) and remained significant in all four marker models (adjusted δ = +0.248 to +0.370; Supplementary Table S18d).</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In this group </w:t>
      </w:r>
      <w:r>
        <w:rPr>
          <w:i/>
        </w:rPr>
        <w:t xml:space="preserve">SNAP25</w:t>
      </w:r>
      <w:r>
        <w:t xml:space="preserve"> fell and </w:t>
      </w:r>
      <w:r>
        <w:rPr>
          <w:i/>
        </w:rPr>
        <w:t xml:space="preserve">GFAP</w:t>
      </w:r>
      <w:r>
        <w:t xml:space="preserve"> rose in frontal and temporal cortex (</w:t>
      </w:r>
      <w:r>
        <w:rPr>
          <w:i/>
        </w:rPr>
        <w:t xml:space="preserve">SNAP25</w:t>
      </w:r>
      <w:r>
        <w:t xml:space="preserve"> δ = −0.57 and −0.55; </w:t>
      </w:r>
      <w:r>
        <w:rPr>
          <w:i/>
        </w:rPr>
        <w:t xml:space="preserve">GFAP</w:t>
      </w:r>
      <w:r>
        <w:t xml:space="preserve"> δ = +0.59 and +0.64), consistent with neuronal loss and astrogliosis. Adjustment for </w:t>
      </w:r>
      <w:r>
        <w:rPr>
          <w:i/>
        </w:rPr>
        <w:t xml:space="preserve">SNAP25</w:t>
      </w:r>
      <w:r>
        <w:t xml:space="preserve"> removed most of the temporal-cortex decrease in </w:t>
      </w:r>
      <w:r>
        <w:rPr>
          <w:i/>
        </w:rPr>
        <w:t xml:space="preserve">TRPC1</w:t>
      </w:r>
      <w:r>
        <w:t xml:space="preserve"> (δ = −0.571 before and −0.169 after; −0.390 after adjustment for </w:t>
      </w:r>
      <w:r>
        <w:rPr>
          <w:i/>
        </w:rPr>
        <w:t xml:space="preserve">RBFOX3</w:t>
      </w:r>
      <w:r>
        <w:t xml:space="preserve">) but not the frontal or cerebellar decrease (−0.42 to −0.68 and −0.39 to −0.42 across the four models; Supplementary Table S18).</w:t>
      </w:r>
      <w:r>
        <w:t xml:space="preserve"/>
      </w:r>
      <w:r>
        <w:rPr>
          <w:i/>
          <w:iCs/>
        </w:rPr>
        <w:t xml:space="preserve"/>
      </w:r>
      <w:r>
        <w:t xml:space="preserve"/>
      </w:r>
      <w:r>
        <w:t xml:space="preserve"/>
      </w:r>
    </w:p>
    <w:p>
      <w:pPr>
        <w:pStyle w:val="BodyText"/>
        <w:jc w:val="both"/>
      </w:pPr>
      <w:r>
        <w:rPr>
          <w:i/>
        </w:rPr>
        <w:t>TRPC1</w:t>
      </w:r>
      <w:r>
        <w:rPr>
          <w:i w:val="0"/>
        </w:rPr>
        <w:t xml:space="preserve"> was also examined in four independent datasets covering Alzheimer’s disease, Parkinson’s disease and multiple sclerosis (Supplementary Figure S7).</w:t>
      </w:r>
      <w:r>
        <w:rPr>
          <w:i w:val="0"/>
        </w:rPr>
        <w:t xml:space="preserve"> </w:t>
      </w:r>
      <w:r>
        <w:rPr>
          <w:i/>
          <w:iCs/>
        </w:rPr>
        <w:t>TRPC1</w:t>
      </w:r>
      <w:r>
        <w:rPr>
          <w:i w:val="0"/>
        </w:rPr>
        <w:t xml:space="preserve"> </w:t>
      </w:r>
      <w:r>
        <w:rPr>
          <w:i w:val="0"/>
        </w:rPr>
        <w:t>was decreased in Alzheimer’s disease (δ = −0.447; q = 1.6 × 10⁻⁷, with Braak-stage correlation ρ = −0.183, p = 1.8 × 10⁻³) and in Parkinson’s disease (δ = −0.677; q = 1.8 × 10⁻⁴). In multiple sclerosis,</w:t>
      </w:r>
      <w:r>
        <w:rPr>
          <w:i w:val="0"/>
        </w:rPr>
        <w:t xml:space="preserve"> </w:t>
      </w:r>
      <w:r>
        <w:rPr>
          <w:i/>
          <w:iCs/>
        </w:rPr>
        <w:t>TRPC1</w:t>
      </w:r>
      <w:r>
        <w:rPr>
          <w:i w:val="0"/>
        </w:rPr>
        <w:t xml:space="preserve"> </w:t>
      </w:r>
      <w:r>
        <w:rPr>
          <w:i w:val="0"/>
        </w:rPr>
        <w:t xml:space="preserve">was decreased at donor level across all sampled lesion types (δ = −0.840; q = 0.038) and in lesions at sample level (δ = −0.594; q = 1.3 × 10⁻⁴); the direction was the same in the second multiple sclerosis cohort, which included five donors per group (five regions pooled, δ = −0.226; q = 0.49). The decrease could reflect demyelination rather than a neuronal change, because </w:t>
      </w:r>
      <w:r>
        <w:rPr>
          <w:i/>
        </w:rPr>
        <w:t>TRPC1</w:t>
      </w:r>
      <w:r>
        <w:rPr>
          <w:i w:val="0"/>
        </w:rPr>
        <w:t xml:space="preserve">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rPr>
          <w:i w:val="0"/>
        </w:rPr>
        <w:t>(Paez et al., 2011)</w:t>
      </w:r>
      <w:r>
        <w:fldChar w:fldCharType="end"/>
      </w:r>
      <w:r>
        <w:rPr>
          <w:i w:val="0"/>
        </w:rPr>
        <w:t>. Two sensitivity analyses assessed that explanation: the decrease is present in normal-appearing white matter, where no statistically significant myelin-marker changes were detected (</w:t>
      </w:r>
      <w:r>
        <w:rPr>
          <w:i/>
        </w:rPr>
        <w:t>TRPC1</w:t>
      </w:r>
      <w:r>
        <w:rPr>
          <w:i w:val="0"/>
        </w:rPr>
        <w:t xml:space="preserve"> δ = −0.482 at sample level, p = 0.005, q = 0.10; −0.771 at donor level, uncorrected p = 0.030). Regression on </w:t>
      </w:r>
      <w:r>
        <w:rPr>
          <w:i/>
        </w:rPr>
        <w:t>MBP</w:t>
      </w:r>
      <w:r>
        <w:rPr>
          <w:i w:val="0"/>
        </w:rPr>
        <w:t xml:space="preserve">, </w:t>
      </w:r>
      <w:r>
        <w:rPr>
          <w:i/>
        </w:rPr>
        <w:t>PLP1</w:t>
      </w:r>
      <w:r>
        <w:rPr>
          <w:i w:val="0"/>
        </w:rPr>
        <w:t xml:space="preserve"> and </w:t>
      </w:r>
      <w:r>
        <w:rPr>
          <w:i/>
        </w:rPr>
        <w:t>GFAP</w:t>
      </w:r>
      <w:r>
        <w:rPr>
          <w:i w:val="0"/>
        </w:rPr>
        <w:t xml:space="preserve"> attenuated the </w:t>
      </w:r>
      <w:r>
        <w:rPr>
          <w:i/>
        </w:rPr>
        <w:t>TRPC1</w:t>
      </w:r>
      <w:r>
        <w:rPr>
          <w:i w:val="0"/>
        </w:rPr>
        <w:t xml:space="preserve"> difference, which remained significant at sample level but not at donor level (p = 0.055). These analyses do not exclude a contribution from tissue composition.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p>
      <w:pPr>
        <w:pStyle w:val="BodyText"/>
      </w:pPr>
      <w:r>
        <w:rPr>
          <w:i w:val="0"/>
        </w:rPr>
        <w:t xml:space="preserve">The same indicator characterises the comparison group, whose constituent disorders are not public. In this group the cryptic junction was common in cortex: it exceeded 1% of the reads at the exon-1 donor in 21 of 42 frontal and 22 of 35 temporal cortex samples, against 2 of 154 and 2 of 25 ALS samples and none of the controls of the same regions (Cliff’s δ versus controls = +0.73 and +0.71; q &lt; 10⁻⁶), whereas in cerebellum no comparison-group or ALS sample exceeded 1% (Supplementary Table S18b). This is consistent with the TDP-43 proteinopathy of frontotemporal lobar degeneration or limbic-predominant age-related TDP-43 encephalopathy, although the diagnoses cannot be checked. </w:t>
      </w:r>
      <w:r>
        <w:rPr>
          <w:i/>
        </w:rPr>
        <w:t>TRPC1</w:t>
      </w:r>
      <w:r>
        <w:rPr>
          <w:i w:val="0"/>
        </w:rPr>
        <w:t xml:space="preserve"> was nevertheless lower in these regions. Within the group, </w:t>
      </w:r>
      <w:r>
        <w:rPr>
          <w:i/>
        </w:rPr>
        <w:t>TRPC1</w:t>
      </w:r>
      <w:r>
        <w:rPr>
          <w:i w:val="0"/>
        </w:rPr>
        <w:t xml:space="preserve"> fell as cryptic inclusion rose (ρ = −0.50 in frontal and −0.40 in temporal cortex), but </w:t>
      </w:r>
      <w:r>
        <w:rPr>
          <w:i/>
        </w:rPr>
        <w:t>SNAP25</w:t>
      </w:r>
      <w:r>
        <w:rPr>
          <w:i w:val="0"/>
        </w:rPr>
        <w:t xml:space="preserve"> fell with it (ρ = −0.49 and −0.47), and after adjustment for </w:t>
      </w:r>
      <w:r>
        <w:rPr>
          <w:i/>
        </w:rPr>
        <w:t>SNAP25</w:t>
      </w:r>
      <w:r>
        <w:rPr>
          <w:i w:val="0"/>
        </w:rPr>
        <w:t xml:space="preserve"> the associations weakened and did not reach statistical significance</w:t>
      </w:r>
      <w:r>
        <w:rPr>
          <w:i/>
        </w:rPr>
        <w:t xml:space="preserve"/>
      </w:r>
      <w:r>
        <w:rPr>
          <w:i w:val="0"/>
        </w:rPr>
        <w:t xml:space="preserve"> (partial ρ = −0.24, p = 0.12, and 0.00, p = 0.98; Supplementary Table S18c).</w:t>
      </w:r>
    </w:p>
    <w:p>
      <w:pPr>
        <w:pStyle w:val="BodyText"/>
      </w:pPr>
      <w:r>
        <w:t xml:space="preserve">Across the cohort, </w:t>
      </w:r>
      <w:r>
        <w:rPr>
          <w:i/>
        </w:rPr>
        <w:t xml:space="preserve">TRPC1</w:t>
      </w:r>
      <w:r>
        <w:t xml:space="preserve"> therefore did not behave as a readout of TDP-43 loss of function. It rose in ALS brain regions, in which the cryptic junction exceeded 1% of reads in at most 14% of samples, showed no statistically significant difference in ALS spinal cord, where it did so in 41–67%, and fell in the cortex of the comparison group, where it did so in 50–63%; within groups its association with the junction was attenuated after adjustment for a neuronal marker.</w:t>
      </w:r>
    </w:p>
    <w:bookmarkEnd w:id="37"/>
    <w:bookmarkEnd w:id="38"/>
    <w:bookmarkStart w:id="39" w:name="discussion"/>
    <w:p>
      <w:pPr>
        <w:pStyle w:val="Heading2"/>
        <w:rPr>
          <w:b w:val="1"/>
        </w:rPr>
        <w:jc w:val="left"/>
      </w:pPr>
      <w:r>
        <w:rPr>
          <w:b w:val="1"/>
        </w:rPr>
        <w:t xml:space="preserve">4. Discussion</w:t>
      </w:r>
    </w:p>
    <w:p>
      <w:pPr>
        <w:pStyle w:val="FirstParagraph"/>
        <w:jc w:val="both"/>
      </w:pPr>
      <w:r>
        <w:t>In one Fura-2 culture plate, TDP-43 knockdown wells had a lower calcium-readdition response. In an independent public SH-SY5Y model, adjusted STIM and ORAI transcript pools increased; these data generate hypotheses about the within-plate signal but do not establish a reproducible functional phenotype or its RNA mechanism. The transcript data do not show a simple loss of core SOCE mRNAs; they do not establish protein abundance. Channel composition, feedback inhibition, ER refilling and cellular bioenergetics remain possible interacting determinants. Together, the observations motivate testing calcium regulation and RNA processing in matched, independently replicated experiments.</w:t>
      </w:r>
    </w:p>
    <w:p>
      <w:pPr>
        <w:pStyle w:val="BodyText"/>
        <w:jc w:val="both"/>
      </w:pPr>
      <w:r>
        <w:rPr>
          <w:b/>
          <w:i w:val="0"/>
        </w:rPr>
        <w:t xml:space="preserve">Interpretation of the Fura-2 response. </w:t>
      </w:r>
      <w:r>
        <w:rPr>
          <w:i w:val="0"/>
        </w:rPr>
        <w:t xml:space="preserve">Within the single Fura-2 plate, mean ER release was 33% lower and mean readdition 84% lower; readdition remained 77% lower when each well was normalised to its own release. This ratio is descriptive and does not isolate altered store depletion from influx or clearance; the response requires replication in independent cultures. The transcript data identify two mechanistic layers that could act together. First, </w:t>
      </w:r>
      <w:r>
        <w:rPr>
          <w:i/>
        </w:rPr>
        <w:t>ATP2A2</w:t>
      </w:r>
      <w:r>
        <w:rPr>
          <w:i w:val="0"/>
        </w:rPr>
        <w:t xml:space="preserve">, which dominates the SERCA family in these cells, decreased modestly and could reduce the efficiency of ER refilling. Second, the ORAI family shifted sharply: </w:t>
      </w:r>
      <w:r>
        <w:rPr>
          <w:i/>
        </w:rPr>
        <w:t>ORAI3</w:t>
      </w:r>
      <w:r>
        <w:rPr>
          <w:i w:val="0"/>
        </w:rPr>
        <w:t xml:space="preserve"> rose from 8% to 30% of ORAI transcripts, </w:t>
      </w:r>
      <w:r>
        <w:rPr>
          <w:i/>
        </w:rPr>
        <w:t>ORAI2</w:t>
      </w:r>
      <w:r>
        <w:rPr>
          <w:i w:val="0"/>
        </w:rPr>
        <w:t xml:space="preserve"> decreased from 77% to 53%, and </w:t>
      </w:r>
      <w:r>
        <w:rPr>
          <w:i/>
        </w:rPr>
        <w:t>SARAF</w:t>
      </w:r>
      <w:r>
        <w:rPr>
          <w:i w:val="0"/>
        </w:rPr>
        <w:t xml:space="preserve"> increased. Channel output depends on the relative abundance, assembly and localisation of STIM and ORAI proteins rather than their summed RNA abundance; even the </w:t>
      </w:r>
      <w:r>
        <w:rPr>
          <w:i/>
        </w:rPr>
        <w:t>STIM1</w:t>
      </w:r>
      <w:r>
        <w:rPr>
          <w:i w:val="0"/>
        </w:rPr>
        <w:t>:</w:t>
      </w:r>
      <w:r>
        <w:rPr>
          <w:i/>
        </w:rPr>
        <w:t>ORAI1</w:t>
      </w:r>
      <w:r>
        <w:rPr>
          <w:i w:val="0"/>
        </w:rPr>
        <w:t xml:space="preserve">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rPr>
          <w:i w:val="0"/>
        </w:rPr>
        <w:t>(Hoover and Lewis, 2011)</w:t>
      </w:r>
      <w:r>
        <w:fldChar w:fldCharType="end"/>
      </w:r>
      <w:r>
        <w:rPr>
          <w:i w:val="0"/>
        </w:rPr>
        <w:t>. A rise in these transcripts could also be compensatory after reduced Ca²⁺ signalling; the present measurements do not establish which change came first.</w:t>
      </w:r>
    </w:p>
    <w:p>
      <w:pPr>
        <w:pStyle w:val="BodyText"/>
        <w:jc w:val="both"/>
      </w:pPr>
      <w:r>
        <w:rPr>
          <w:i w:val="0"/>
        </w:rPr>
        <w:t xml:space="preserve">Interpretation of the Fura-2 readdition signal also depends on Ca²⁺ clearance. The adjusted PMCA transcript pool rose by 35.2% in the public SH-SY5Y model (Table 1); </w:t>
      </w:r>
      <w:r>
        <w:rPr>
          <w:i/>
        </w:rPr>
        <w:t>ATP2B2</w:t>
      </w:r>
      <w:r>
        <w:rPr>
          <w:i w:val="0"/>
        </w:rPr>
        <w:t xml:space="preserve"> and </w:t>
      </w:r>
      <w:r>
        <w:rPr>
          <w:i/>
        </w:rPr>
        <w:t>ATP2B3</w:t>
      </w:r>
      <w:r>
        <w:rPr>
          <w:i w:val="0"/>
        </w:rPr>
        <w:t xml:space="preserve"> increased by 207% and 307%, respectively, from low baseline abundance, while </w:t>
      </w:r>
      <w:r>
        <w:rPr>
          <w:i/>
        </w:rPr>
        <w:t>ATP2A3</w:t>
      </w:r>
      <w:r>
        <w:rPr>
          <w:i w:val="0"/>
        </w:rPr>
        <w:t xml:space="preserve"> rose and </w:t>
      </w:r>
      <w:r>
        <w:rPr>
          <w:i/>
        </w:rPr>
        <w:t>ATP2A2</w:t>
      </w:r>
      <w:r>
        <w:rPr>
          <w:i w:val="0"/>
        </w:rPr>
        <w:t xml:space="preserve"> fell. Faster plasma-membrane extrusion could reduce the cytosolic peak even if channel influx were unchanged. SERCA was inhibited by CPA during the readdition protocol, so increased ER re-uptake cannot be assumed to explain that peak without evidence of residual SERCA activity or inhibitor washout.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i w:val="0"/>
        </w:rPr>
        <w:t xml:space="preserve">RNA-processing specificity. </w:t>
      </w:r>
      <w:r>
        <w:rPr>
          <w:i w:val="0"/>
        </w:rPr>
        <w:t xml:space="preserve">The annotation-free analysis recovered established TDP-43-dependent cryptic targets, including the </w:t>
      </w:r>
      <w:r>
        <w:rPr>
          <w:i/>
        </w:rPr>
        <w:t>STMN2</w:t>
      </w:r>
      <w:r>
        <w:rPr>
          <w:i w:val="0"/>
        </w:rPr>
        <w:t xml:space="preserve"> and </w:t>
      </w:r>
      <w:r>
        <w:rPr>
          <w:i/>
        </w:rPr>
        <w:t>UNC13A</w:t>
      </w:r>
      <w:r>
        <w:rPr>
          <w:i w:val="0"/>
        </w:rPr>
        <w:t xml:space="preserve">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rPr>
          <w:i w:val="0"/>
        </w:rPr>
        <w:t>(Ling et al., 2015; Melamed et al., 2019; Brown et al., 2022; Ma et al., 2022)</w:t>
      </w:r>
      <w:r>
        <w:fldChar w:fldCharType="end"/>
      </w:r>
      <w:r>
        <w:rPr>
          <w:i w:val="0"/>
        </w:rPr>
        <w:t xml:space="preserve">. Their recovery supports detection of known targets in the deeper TDP-43 comparisons. In the matched motor-neuron experiment, </w:t>
      </w:r>
      <w:r>
        <w:rPr>
          <w:i/>
        </w:rPr>
        <w:t>STMN2</w:t>
      </w:r>
      <w:r>
        <w:rPr>
          <w:i w:val="0"/>
        </w:rPr>
        <w:t xml:space="preserve"> and </w:t>
      </w:r>
      <w:r>
        <w:rPr>
          <w:i/>
        </w:rPr>
        <w:t>KALRN</w:t>
      </w:r>
      <w:r>
        <w:rPr>
          <w:i w:val="0"/>
        </w:rPr>
        <w:t xml:space="preserve"> were recovered only after TDP-43 knockdown, but two controls versus none after FUS or TAF15 knockdown did not establish a significant specificity difference. The SOCE genes did not show an equivalent universal cryptic-splicing programme. </w:t>
      </w:r>
      <w:r>
        <w:rPr>
          <w:i/>
        </w:rPr>
        <w:t>STMN2</w:t>
      </w:r>
      <w:r>
        <w:rPr>
          <w:i w:val="0"/>
        </w:rPr>
        <w:t xml:space="preserve"> shifted clearly in iPSC-derived motor neurons while the SOCE machinery changed little in the APA analysis, and the NMD interaction estimates were descriptive and did not confirm an NMD target. These results separate two levels of TDP-43 biology: canonical loss of RNA repression is reproducible across suitable neuronal models, whereas the independent calcium-regulatory RNA analyses identify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i/>
        </w:rPr>
        <w:t>STIM2</w:t>
      </w:r>
      <w:r>
        <w:rPr>
          <w:b/>
          <w:i w:val="0"/>
        </w:rPr>
        <w:t xml:space="preserve">, </w:t>
      </w:r>
      <w:r>
        <w:rPr>
          <w:b/>
          <w:i/>
        </w:rPr>
        <w:t>STIMATE</w:t>
      </w:r>
      <w:r>
        <w:rPr>
          <w:b/>
          <w:i w:val="0"/>
        </w:rPr>
        <w:t xml:space="preserve"> and </w:t>
      </w:r>
      <w:r>
        <w:rPr>
          <w:b/>
          <w:i/>
        </w:rPr>
        <w:t>ORAI3</w:t>
      </w:r>
      <w:r>
        <w:rPr>
          <w:b/>
          <w:i w:val="0"/>
        </w:rPr>
        <w:t xml:space="preserve">. </w:t>
      </w:r>
      <w:r>
        <w:rPr>
          <w:i w:val="0"/>
        </w:rPr>
        <w:t xml:space="preserve">The 24-nucleotide exon that produces the inhibitory </w:t>
      </w:r>
      <w:r>
        <w:rPr>
          <w:i/>
        </w:rPr>
        <w:t>STIM2</w:t>
      </w:r>
      <w:r>
        <w:rPr>
          <w:i w:val="0"/>
        </w:rPr>
        <w:t xml:space="preserve">.1/STIM2β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rPr>
          <w:i w:val="0"/>
        </w:rPr>
        <w:t>(Miederer et al., 2015; Rana et al., 2015)</w:t>
      </w:r>
      <w:r>
        <w:fldChar w:fldCharType="end"/>
      </w:r>
      <w:r>
        <w:rPr>
          <w:i w:val="0"/>
        </w:rPr>
        <w:t xml:space="preserve">, but the pooled effect was negligible (Supplementary Table S15). A shared </w:t>
      </w:r>
      <w:r>
        <w:rPr>
          <w:i/>
        </w:rPr>
        <w:t>STIM2</w:t>
      </w:r>
      <w:r>
        <w:rPr>
          <w:i w:val="0"/>
        </w:rPr>
        <w:t xml:space="preserve">.1 switch therefore cannot explain the within-plate Fura-2 difference. </w:t>
      </w:r>
      <w:r>
        <w:rPr>
          <w:i/>
        </w:rPr>
        <w:t>STIMATE</w:t>
      </w:r>
      <w:r>
        <w:rPr>
          <w:i w:val="0"/>
        </w:rPr>
        <w:t xml:space="preserve"> is mechanistically attractive because it promotes the conformational transition that activates </w:t>
      </w:r>
      <w:r>
        <w:rPr>
          <w:i/>
        </w:rPr>
        <w:t>STIM1</w:t>
      </w:r>
      <w:r>
        <w:rPr>
          <w:i w:val="0"/>
        </w:rPr>
        <w:t xml:space="preserve">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rPr>
          <w:i w:val="0"/>
        </w:rPr>
        <w:t>(Jing et al., 2015)</w:t>
      </w:r>
      <w:r>
        <w:fldChar w:fldCharType="end"/>
      </w:r>
      <w:r>
        <w:rPr>
          <w:i w:val="0"/>
        </w:rPr>
        <w:t xml:space="preserve">, while the </w:t>
      </w:r>
      <w:r>
        <w:rPr>
          <w:i/>
        </w:rPr>
        <w:t>ORAI3</w:t>
      </w:r>
      <w:r>
        <w:rPr>
          <w:i w:val="0"/>
        </w:rPr>
        <w:t xml:space="preserve">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w:t>
      </w:r>
      <w:r>
        <w:rPr>
          <w:i/>
        </w:rPr>
        <w:t>CBARP</w:t>
      </w:r>
      <w:r>
        <w:rPr>
          <w:i w:val="0"/>
        </w:rPr>
        <w:t xml:space="preserve"> and a small number of model-specific candidates. In the iPSC-derived motor neurons two panels retained nominal associations after matching, but neither met the multiple-comparison criterion.</w:t>
      </w:r>
    </w:p>
    <w:p>
      <w:pPr>
        <w:pStyle w:val="BodyText"/>
        <w:jc w:val="both"/>
      </w:pPr>
      <w:r>
        <w:rPr>
          <w:b/>
        </w:rPr>
        <w:t xml:space="preserve">Relevance to disease tissue. </w:t>
      </w:r>
      <w:r>
        <w:rPr>
          <w:i/>
        </w:rPr>
        <w:t xml:space="preserve">TRPC1</w:t>
      </w:r>
      <w:r>
        <w:t xml:space="preserve"> and </w:t>
      </w:r>
      <w:r>
        <w:rPr>
          <w:i/>
        </w:rPr>
        <w:t xml:space="preserve">SARAF</w:t>
      </w:r>
      <w:r>
        <w:t xml:space="preserve"> increased and </w:t>
      </w:r>
      <w:r>
        <w:rPr>
          <w:i/>
        </w:rPr>
        <w:t xml:space="preserve">CBARP</w:t>
      </w:r>
      <w:r>
        <w:t xml:space="preserve"> decreased in six ALS brain regions, matching the direction observed in the public SH-SY5Y model. </w:t>
      </w:r>
      <w:r>
        <w:rPr>
          <w:i/>
        </w:rPr>
        <w:t>TRPC1</w:t>
      </w:r>
      <w:r>
        <w:rPr>
          <w:i w:val="0"/>
        </w:rPr>
        <w:t xml:space="preserve"> showed no statistically significant difference in cervical or lumbar spinal cord</w:t>
      </w:r>
      <w:r>
        <w:t xml:space="preserve"> and decreased in the neurological comparison cohorts. Among the disease cohorts surveyed, ALS alone showed a significant </w:t>
      </w:r>
      <w:r>
        <w:rPr>
          <w:i/>
        </w:rPr>
        <w:t xml:space="preserve">TRPC1</w:t>
      </w:r>
      <w:r>
        <w:t xml:space="preserve"> increase, concentrated in brain regions. The increase was attenuated but not removed by adjustment for neuronal and astrocytic markers, although marker adjustment cannot exclude residual effects of cell composition; it did not, however, follow the cryptic </w:t>
      </w:r>
      <w:r>
        <w:rPr>
          <w:i/>
        </w:rPr>
        <w:t xml:space="preserve">STMN2</w:t>
      </w:r>
      <w:r>
        <w:t xml:space="preserve"> indicator of TDP-43 loss of function, and a comparison group that carried that indicator in cortex more often than the ALS samples showed the opposite change. The tissue increase is therefore a disease-associated candidate whose cause is not established, and the direction it shares with the cellular model does not by itself link the two.</w:t>
      </w:r>
    </w:p>
    <w:p>
      <w:pPr>
        <w:pStyle w:val="BodyText"/>
        <w:jc w:val="both"/>
      </w:pPr>
      <w:r>
        <w:rPr>
          <w:b/>
          <w:i w:val="0"/>
        </w:rPr>
        <w:t xml:space="preserve">Integrated mechanism and testable predictions. </w:t>
      </w:r>
      <w:r>
        <w:rPr>
          <w:i w:val="0"/>
        </w:rP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rPr>
          <w:i w:val="0"/>
        </w:rPr>
        <w:t>(Stoica et al., 2014)</w:t>
      </w:r>
      <w:r>
        <w:fldChar w:fldCharType="end"/>
      </w:r>
      <w:r>
        <w:rPr>
          <w:i w:val="0"/>
        </w:rP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rPr>
          <w:i w:val="0"/>
        </w:rPr>
        <w:t>(Markovinovic et al., 2024)</w:t>
      </w:r>
      <w:r>
        <w:fldChar w:fldCharType="end"/>
      </w:r>
      <w:r>
        <w:rPr>
          <w:i w:val="0"/>
        </w:rPr>
        <w:t xml:space="preserve">. The working model in Figure 6 proposes hypotheses about the plasma-membrane replenishment phase. TDP-43 loss might alter cellular bioenergetics, ER refilling, channel composition and feedback control; recurrent </w:t>
      </w:r>
      <w:r>
        <w:rPr>
          <w:i/>
        </w:rPr>
        <w:t>CBARP</w:t>
      </w:r>
      <w:r>
        <w:rPr>
          <w:i w:val="0"/>
        </w:rPr>
        <w:t xml:space="preserve"> processing may add a parallel effect on voltage-gated entry and exocytosis. This model makes discriminating predictions. </w:t>
      </w:r>
      <w:r>
        <w:rPr>
          <w:i/>
        </w:rPr>
        <w:t>ATP2A2</w:t>
      </w:r>
      <w:r>
        <w:rPr>
          <w:i w:val="0"/>
        </w:rPr>
        <w:t xml:space="preserve"> or bioenergetic perturbations could be tested with direct ER Ca²⁺ measurements and refilling after CPA washout. </w:t>
      </w:r>
      <w:r>
        <w:rPr>
          <w:i/>
        </w:rPr>
        <w:t>SARAF</w:t>
      </w:r>
      <w:r>
        <w:rPr>
          <w:i w:val="0"/>
        </w:rPr>
        <w:t xml:space="preserve"> or ORAI perturbations could be tested for effects on the readdition response in independently replicated cultures. An isoform-specific </w:t>
      </w:r>
      <w:r>
        <w:rPr>
          <w:i/>
        </w:rPr>
        <w:t>CBARP</w:t>
      </w:r>
      <w:r>
        <w:rPr>
          <w:i w:val="0"/>
        </w:rPr>
        <w:t xml:space="preserve"> perturbation should have a larger effect on depolarisation-evoked Ca²⁺ entry or secretion than on CPA-triggered SOCE. These outcomes would distinguish store, channel-composition and broader calcium-network mechanisms and test whether the candidate RNA changes contribute to a reproducible calcium response.</w:t>
      </w:r>
    </w:p>
    <w:p>
      <w:pPr>
        <w:keepNext/>
      </w:pPr>
      <w:r>
        <w:drawing>
          <wp:inline>
            <wp:extent cx="5532120" cy="3038770"/>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532120" cy="3038770"/>
                    </a:xfrm>
                    <a:prstGeom prst="rect"/>
                  </pic:spPr>
                </pic:pic>
              </a:graphicData>
            </a:graphic>
          </wp:inline>
        </w:drawing>
      </w:r>
    </w:p>
    <w:p>
      <w:pPr>
        <w:pStyle w:val="Caption"/>
      </w:pPr>
      <w:r>
        <w:rPr>
          <w:b/>
          <w:i/>
        </w:rPr>
        <w:t xml:space="preserve">Figure 6. </w:t>
      </w:r>
      <w:r>
        <w:rPr>
          <w:i/>
        </w:rPr>
        <w:t xml:space="preserve">Working model linking descriptive calcium measurements to candidate hypotheses and candidate RNA changes. Blue boxes and solid arrows summarise laboratory measurements after </w:t>
      </w:r>
      <w:r>
        <w:rPr>
          <w:i/>
        </w:rPr>
        <w:t>TARDBP</w:t>
      </w:r>
      <w:r>
        <w:rPr>
          <w:i/>
        </w:rPr>
        <w:t xml:space="preserve"> knockdown: higher </w:t>
      </w:r>
      <w:r>
        <w:rPr>
          <w:i/>
        </w:rPr>
        <w:t>TRPC1</w:t>
      </w:r>
      <w:r>
        <w:rPr>
          <w:i/>
        </w:rPr>
        <w:t xml:space="preserve">, </w:t>
      </w:r>
      <w:r>
        <w:rPr>
          <w:i/>
        </w:rPr>
        <w:t>STIM1</w:t>
      </w:r>
      <w:r>
        <w:rPr>
          <w:i/>
        </w:rPr>
        <w:t xml:space="preserve">, </w:t>
      </w:r>
      <w:r>
        <w:rPr>
          <w:i/>
        </w:rPr>
        <w:t>ORAI1</w:t>
      </w:r>
      <w:r>
        <w:rPr>
          <w:i/>
        </w:rPr>
        <w:t xml:space="preserve"> and </w:t>
      </w:r>
      <w:r>
        <w:rPr>
          <w:i/>
        </w:rPr>
        <w:t>ATP2A3</w:t>
      </w:r>
      <w:r>
        <w:rPr>
          <w:i/>
        </w:rPr>
        <w:t xml:space="preserve"> mRNA and, in three wells per group on one culture plate, lower mean Ca²⁺-readdition and ER-release amplitudes. RT-qPCR comprises four technical measurements per group; both the qPCR and Fura-2 comparisons are descriptive. Orange boxes are candidate mechanisms suggested by the public RNA-seq data; dashed arrows mark hypotheses for future perturbation, not demonstrated causal links. </w:t>
      </w:r>
      <w:r>
        <w:rPr>
          <w:i/>
        </w:rPr>
        <w:t>CBARP</w:t>
      </w:r>
      <w:r>
        <w:rPr>
          <w:i/>
        </w:rPr>
        <w:t xml:space="preserve"> is placed on a parallel voltage-gated channel branch that was not measured here.</w:t>
      </w:r>
    </w:p>
    <w:p>
      <w:pPr>
        <w:pStyle w:val="Heading3"/>
      </w:pPr>
      <w:r>
        <w:t>Limitations</w:t>
      </w:r>
    </w:p>
    <w:p>
      <w:r>
        <w:rPr>
          <w:i w:val="0"/>
        </w:rPr>
        <w:t xml:space="preserve">Lower </w:t>
      </w:r>
      <w:r>
        <w:rPr>
          <w:i/>
        </w:rPr>
        <w:t>TARDBP</w:t>
      </w:r>
      <w:r>
        <w:rPr>
          <w:i w:val="0"/>
        </w:rPr>
        <w:t xml:space="preserve"> mRNA was measured by RT-qPCR but depletion was not verified at the protein level, and one TDP-43-targeting shRNA was used without a rescue experiment. The Fura-2 comparison rests on three wells per group from one culture plate, rather than independent biological experiments. Its 84% lower mean is a descriptive within-plate observation; it does not estimate between-experiment variability. Independent culture experiments are required to estimate biological variability and test whether the response replicates.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the WST-1 signal was 38.5% lower, a smaller or less healthy cell population could contribute to the smaller Fura-2 signal; the ratiometric readout is in principle independent of cell number, but neither cell number nor maximum response was measured in the cuvettes. RT-qPCR used four technical measurements of the same biological sample per group and therefore does not provide independent biological confirmation of the RNA-seq changes. It was normalised to a single reference gene, </w:t>
      </w:r>
      <w:r>
        <w:rPr>
          <w:i/>
        </w:rPr>
        <w:t>GAPDH</w:t>
      </w:r>
      <w:r>
        <w:rPr>
          <w:i w:val="0"/>
        </w:rPr>
        <w:t xml:space="preserve">, whose mean Ct was similar between the measured groups. In the public inducible RNA-seq comparison </w:t>
      </w:r>
      <w:r>
        <w:rPr>
          <w:i/>
        </w:rPr>
        <w:t>GAPDH</w:t>
      </w:r>
      <w:r>
        <w:rPr>
          <w:i w:val="0"/>
        </w:rPr>
        <w:t xml:space="preserve"> rose (log2FC +0.61) whereas </w:t>
      </w:r>
      <w:r>
        <w:rPr>
          <w:i/>
        </w:rPr>
        <w:t>TBP</w:t>
      </w:r>
      <w:r>
        <w:rPr>
          <w:i w:val="0"/>
        </w:rPr>
        <w:t xml:space="preserve"> and </w:t>
      </w:r>
      <w:r>
        <w:rPr>
          <w:i/>
        </w:rPr>
        <w:t>B2M</w:t>
      </w:r>
      <w:r>
        <w:rPr>
          <w:i w:val="0"/>
        </w:rPr>
        <w:t xml:space="preserve">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The readdition-to-release ratio is descriptive and cannot distinguish altered ER store depletion from changes in STIM activation, calcium influx or clearance.</w:t>
      </w:r>
    </w:p>
    <w:p>
      <w:r>
        <w:t xml:space="preserve">Bulk post-mortem expression can reflect cell composition, which regression on marker genes adjusts for only partially, and age, RNA integrity and post-mortem interval were not modelled as covariates. The disorders that make up the NYGC comparison group are not public, and the cryptic </w:t>
      </w:r>
      <w:r>
        <w:rPr>
          <w:i/>
        </w:rPr>
        <w:t xml:space="preserve">STMN2</w:t>
      </w:r>
      <w:r>
        <w:t xml:space="preserve"> junction indicates TDP-43 loss of function rather than a diagnosis.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rPr>
          <w:i w:val="0"/>
        </w:rPr>
        <w:t xml:space="preserve">In one SH-SY5Y culture-plate experiment, TDP-43 knockdown wells showed a lower Fura-2 calcium-readdition response. Independently, calcium-regulatory mRNA expression and splicing analyses identified candidate changes. Transcript-family summaries and reproducible </w:t>
      </w:r>
      <w:r>
        <w:rPr>
          <w:i/>
          <w:iCs/>
        </w:rPr>
        <w:t>CBARP</w:t>
      </w:r>
      <w:r>
        <w:rPr>
          <w:i w:val="0"/>
        </w:rPr>
        <w:t xml:space="preserve"> splicing identify candidate explanations, but they do not establish protein stoichiometry or a single causal RNA switch. Coverage-based APA and descriptive NMD summaries do not provide confirmatory evidence that SOCE-machinery genes are direct targets of those pathways. In ALS tissue, </w:t>
      </w:r>
      <w:r>
        <w:rPr>
          <w:i/>
          <w:iCs/>
        </w:rPr>
        <w:t>TRPC1</w:t>
      </w:r>
      <w:r>
        <w:rPr>
          <w:i w:val="0"/>
        </w:rPr>
        <w:t xml:space="preserve">, </w:t>
      </w:r>
      <w:r>
        <w:rPr>
          <w:i/>
          <w:iCs/>
        </w:rPr>
        <w:t>SARAF</w:t>
      </w:r>
      <w:r>
        <w:rPr>
          <w:i w:val="0"/>
        </w:rPr>
        <w:t xml:space="preserve"> and </w:t>
      </w:r>
      <w:r>
        <w:rPr>
          <w:i/>
          <w:iCs/>
        </w:rPr>
        <w:t>CBARP</w:t>
      </w:r>
      <w:r>
        <w:rPr>
          <w:i w:val="0"/>
        </w:rPr>
        <w:t xml:space="preserve"> showed region-dependent expression differences. </w:t>
      </w:r>
      <w:r>
        <w:rPr>
          <w:i/>
          <w:iCs/>
        </w:rPr>
        <w:t>CBARP</w:t>
      </w:r>
      <w:r>
        <w:rPr>
          <w:i w:val="0"/>
        </w:rPr>
        <w:t xml:space="preserve">, </w:t>
      </w:r>
      <w:r>
        <w:rPr>
          <w:i/>
          <w:iCs/>
        </w:rPr>
        <w:t>SARAF</w:t>
      </w:r>
      <w:r>
        <w:rPr>
          <w:i w:val="0"/>
        </w:rPr>
        <w:t xml:space="preserve"> and </w:t>
      </w:r>
      <w:r>
        <w:rPr>
          <w:i/>
          <w:iCs/>
        </w:rPr>
        <w:t>TRPC1</w:t>
      </w:r>
      <w:r>
        <w:rPr>
          <w:i w:val="0"/>
        </w:rP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i w:val="0"/>
        </w:rPr>
        <w:t>Data availability.</w:t>
      </w:r>
      <w:r>
        <w:rPr>
          <w:i w:val="0"/>
        </w:rPr>
        <w:t xml:space="preserve"> </w:t>
      </w:r>
      <w:r>
        <w:rPr>
          <w:i w:val="0"/>
        </w:rPr>
        <w:t>All RNA-seq datasets analysed are public and none were generated for this study; accessions are listed in Supplementary Table S17. The publicly accessible analysis package is deposited at</w:t>
      </w:r>
      <w:r>
        <w:rPr>
          <w:i w:val="0"/>
        </w:rPr>
        <w:t xml:space="preserve"> </w:t>
      </w:r>
      <w:r>
        <w:rPr>
          <w:b/>
          <w:bCs/>
          <w:i w:val="0"/>
        </w:rPr>
        <w:t>https://github.com/elmasnuryilmaz/tdp43-soce-manuscript</w:t>
      </w:r>
      <w:r>
        <w:rPr>
          <w:i w:val="0"/>
        </w:rPr>
        <w:t>.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v1.0.6 at https://github.com/elmasnuryilmaz/tdp43-soce-manuscript/releases/tag/v1.0.6.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technical-repeat values and the descriptive summaries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rPr>
          <w:i w:val="0"/>
        </w:rPr>
        <w:t>During preparation of this manuscript, the authors used Anthropic Claude and OpenAI Codex to assist with drafting, language revision, analysis-script development and revision, figure preparation,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S1.</w:t>
      </w:r>
      <w:r>
        <w:rPr>
          <w:b w:val="0"/>
          <w:bCs/>
        </w:rPr>
        <w:t xml:space="preserve"> Laboratory source data: raw Ct and relative expression from four technical RT-qPCR measurements per group, Fura-2 amplitudes from three wells per group on one culture plate, WST-1 values from four wells of one experiment, primers and thermal profile. All laboratory summaries are descriptive.</w:t>
      </w:r>
      <w:r>
        <w:rPr>
          <w:b w:val="0"/>
        </w:rPr>
        <w:t xml:space="preserve"/>
      </w:r>
      <w:r>
        <w:rPr>
          <w:b w:val="0"/>
        </w:rPr>
        <w:t xml:space="preserve"/>
      </w:r>
    </w:p>
    <w:p>
      <w:pPr>
        <w:pStyle w:val="BodyText"/>
        <w:jc w:val="both"/>
      </w:pPr>
      <w:r>
        <w:rPr>
          <w:b/>
          <w:bCs/>
        </w:rPr>
        <w:t>S2.</w:t>
      </w:r>
      <w:r>
        <w:rPr>
          <w:b w:val="0"/>
        </w:rPr>
        <w:t xml:space="preserve"> </w:t>
      </w:r>
      <w:r>
        <w:rPr>
          <w:b w:val="0"/>
        </w:rPr>
        <w:t xml:space="preserve">Ca²⁺ gene panels (four cumulative sets).</w:t>
      </w:r>
    </w:p>
    <w:p>
      <w:pPr>
        <w:pStyle w:val="BodyText"/>
        <w:jc w:val="both"/>
      </w:pPr>
      <w:r>
        <w:rPr>
          <w:b/>
          <w:bCs/>
        </w:rPr>
        <w:t>S3.</w:t>
      </w:r>
      <w:r>
        <w:rPr>
          <w:b w:val="0"/>
        </w:rPr>
        <w:t xml:space="preserve"> </w:t>
      </w:r>
      <w:r>
        <w:rPr>
          <w:b w:val="0"/>
        </w:rPr>
        <w:t xml:space="preserve">rMATS events meeting FDR &lt; 0.05 and |ΔPSI| ≥ 0.10, JC and JCEC, six datasets, with the raw junction counts needed to reproduce the coverage pre-filter.</w:t>
      </w:r>
    </w:p>
    <w:p>
      <w:pPr>
        <w:pStyle w:val="BodyText"/>
        <w:jc w:val="both"/>
      </w:pPr>
      <w:r>
        <w:rPr>
          <w:b/>
          <w:bCs/>
        </w:rPr>
        <w:t>S4.</w:t>
      </w:r>
      <w:r>
        <w:rPr>
          <w:b w:val="0"/>
        </w:rPr>
        <w:t xml:space="preserve"> </w:t>
      </w:r>
      <w:r>
        <w:rPr>
          <w:b w:val="0"/>
        </w:rPr>
        <w:t xml:space="preserve">Matched permutation enrichment results, all datasets and panels.</w:t>
      </w:r>
    </w:p>
    <w:p>
      <w:pPr>
        <w:pStyle w:val="BodyText"/>
        <w:jc w:val="both"/>
      </w:pPr>
      <w:r>
        <w:rPr>
          <w:b/>
          <w:bCs/>
        </w:rPr>
        <w:t>S5.</w:t>
      </w:r>
      <w:r>
        <w:rPr>
          <w:b w:val="0"/>
        </w:rPr>
        <w:t xml:space="preserve"> </w:t>
      </w:r>
      <w:r>
        <w:rPr>
          <w:b w:val="0"/>
        </w:rPr>
        <w:t xml:space="preserve">High-confidence unannotated splicing changes in every comparison, including the independently produced mapping-quality-filtered SH-SY5Y junction set.</w:t>
      </w:r>
    </w:p>
    <w:p>
      <w:pPr>
        <w:pStyle w:val="BodyText"/>
        <w:jc w:val="both"/>
      </w:pPr>
      <w:r>
        <w:rPr>
          <w:b/>
          <w:bCs/>
        </w:rPr>
        <w:t>S6.</w:t>
      </w:r>
      <w:r>
        <w:rPr>
          <w:b w:val="0"/>
        </w:rPr>
        <w:t xml:space="preserve"> </w:t>
      </w:r>
      <w:r>
        <w:rPr>
          <w:b w:val="0"/>
        </w:rPr>
        <w:t xml:space="preserve">Cryptic positive controls, the sixteen literature genes, and the dataset × gene recovery matrix for the human comparisons.</w:t>
      </w:r>
    </w:p>
    <w:p>
      <w:pPr>
        <w:pStyle w:val="BodyText"/>
        <w:jc w:val="both"/>
      </w:pPr>
      <w:r>
        <w:rPr>
          <w:b/>
          <w:bCs/>
        </w:rPr>
        <w:t>S7.</w:t>
      </w:r>
      <w:r>
        <w:rPr>
          <w:b w:val="0"/>
        </w:rPr>
        <w:t xml:space="preserve"> </w:t>
      </w:r>
      <w:r>
        <w:rPr>
          <w:b w:val="0"/>
        </w:rPr>
        <w:t xml:space="preserve">SOCE genes in the annotation-free analysis.</w:t>
      </w:r>
    </w:p>
    <w:p>
      <w:pPr>
        <w:pStyle w:val="BodyText"/>
        <w:jc w:val="both"/>
      </w:pPr>
      <w:r>
        <w:rPr>
          <w:b/>
          <w:bCs/>
        </w:rPr>
        <w:t>S8.</w:t>
      </w:r>
      <w:r>
        <w:rPr>
          <w:b w:val="0"/>
        </w:rPr>
        <w:t xml:space="preserve"> </w:t>
      </w:r>
      <w:r>
        <w:rPr>
          <w:b w:val="0"/>
        </w:rPr>
        <w:t xml:space="preserve">Cryptic</w:t>
      </w:r>
      <w:r>
        <w:rPr>
          <w:b w:val="0"/>
        </w:rPr>
        <w:t xml:space="preserve"> </w:t>
      </w:r>
      <w:r>
        <w:rPr>
          <w:b w:val="0"/>
          <w:i/>
          <w:iCs/>
        </w:rPr>
        <w:t xml:space="preserve">STMN2</w:t>
      </w:r>
      <w:r>
        <w:rPr>
          <w:b w:val="0"/>
        </w:rPr>
        <w:t xml:space="preserve"> </w:t>
      </w:r>
      <w:r>
        <w:rPr>
          <w:b w:val="0"/>
        </w:rPr>
        <w:t xml:space="preserve">PSI in ALS versus control by region (NYGC).</w:t>
      </w:r>
    </w:p>
    <w:p>
      <w:pPr>
        <w:pStyle w:val="BodyText"/>
        <w:jc w:val="both"/>
      </w:pPr>
      <w:r>
        <w:rPr>
          <w:b/>
          <w:bCs/>
        </w:rPr>
        <w:t>S9.</w:t>
      </w:r>
      <w:r>
        <w:rPr>
          <w:b w:val="0"/>
        </w:rPr>
        <w:t xml:space="preserve"> </w:t>
      </w:r>
      <w:r>
        <w:rPr>
          <w:b w:val="0"/>
        </w:rPr>
        <w:t xml:space="preserve">Correlations of both TDP-43 proxies with target genes within ALS samples; the</w:t>
      </w:r>
      <w:r>
        <w:rPr>
          <w:b w:val="0"/>
        </w:rPr>
        <w:t xml:space="preserve"> </w:t>
      </w:r>
      <w:r>
        <w:rPr>
          <w:rStyle w:val="VerbatimChar"/>
          <w:b w:val="0"/>
        </w:rPr>
        <w:t xml:space="preserve">in_correction_family</w:t>
      </w:r>
      <w:r>
        <w:rPr>
          <w:b w:val="0"/>
        </w:rPr>
        <w:t xml:space="preserve"> </w:t>
      </w:r>
      <w:r>
        <w:rPr>
          <w:b w:val="0"/>
        </w:rPr>
        <w:t xml:space="preserve">column marks the 220 informative tests over which the Benjamini–Hochberg correction was applied.</w:t>
      </w:r>
    </w:p>
    <w:p>
      <w:pPr>
        <w:pStyle w:val="BodyText"/>
        <w:jc w:val="both"/>
      </w:pPr>
      <w:r>
        <w:rPr>
          <w:b/>
          <w:bCs/>
        </w:rPr>
        <w:t>S10.</w:t>
      </w:r>
      <w:r>
        <w:rPr>
          <w:b w:val="0"/>
          <w:bCs/>
        </w:rPr>
        <w:t xml:space="preserve"> Descriptive TDP-43 × NMD-inhibition interactions for calcium-panel and reference genes: four condition estimates, mean, range and positive-condition count. No inferential p or q values are reported.</w:t>
      </w:r>
      <w:r>
        <w:rPr>
          <w:b w:val="0"/>
        </w:rPr>
        <w:t xml:space="preserve"/>
      </w:r>
      <w:r>
        <w:rPr>
          <w:b w:val="0"/>
        </w:rPr>
        <w:t xml:space="preserve"/>
      </w:r>
    </w:p>
    <w:p>
      <w:pPr>
        <w:pStyle w:val="BodyText"/>
      </w:pPr>
      <w:r>
        <w:rPr>
          <w:b/>
        </w:rPr>
        <w:t>S10b.</w:t>
      </w:r>
      <w:r>
        <w:rPr>
          <w:b w:val="0"/>
        </w:rPr>
        <w:t xml:space="preserve"> Descriptive calcium-panel and cryptic-splicing-reference summaries of the NMD interactions. The cryptic-splicing references are not a validated NMD-positive control panel.</w:t>
      </w:r>
    </w:p>
    <w:p>
      <w:pPr>
        <w:pStyle w:val="BodyText"/>
        <w:jc w:val="both"/>
      </w:pPr>
      <w:r>
        <w:rPr>
          <w:b/>
          <w:bCs/>
        </w:rPr>
        <w:t>S11.</w:t>
      </w:r>
      <w:r>
        <w:rPr>
          <w:b w:val="0"/>
          <w:bCs/>
        </w:rPr>
        <w:t xml:space="preserve">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rPr>
          <w:b w:val="0"/>
        </w:rPr>
        <w:t xml:space="preserve"/>
      </w:r>
      <w:r>
        <w:rPr>
          <w:b w:val="0"/>
        </w:rPr>
        <w:t xml:space="preserve"/>
      </w:r>
    </w:p>
    <w:p>
      <w:pPr>
        <w:pStyle w:val="BodyText"/>
        <w:jc w:val="both"/>
      </w:pPr>
      <w:r>
        <w:rPr>
          <w:b/>
          <w:bCs/>
        </w:rPr>
        <w:t>S12.</w:t>
      </w:r>
      <w:r>
        <w:rPr>
          <w:b w:val="0"/>
        </w:rPr>
        <w:t xml:space="preserve"> </w:t>
      </w:r>
      <w:r>
        <w:rPr>
          <w:b w:val="0"/>
        </w:rPr>
        <w:t xml:space="preserve">Machine-readable version of Table 4: cryptic event counts by comparison, with the FUS and TAF15 knockdown controls and the null-test ratios.</w:t>
      </w:r>
    </w:p>
    <w:p>
      <w:pPr>
        <w:pStyle w:val="BodyText"/>
        <w:jc w:val="both"/>
      </w:pPr>
      <w:r>
        <w:rPr>
          <w:b/>
          <w:bCs/>
        </w:rPr>
        <w:t>S13.</w:t>
      </w:r>
      <w:r>
        <w:rPr>
          <w:b w:val="0"/>
        </w:rPr>
        <w:t xml:space="preserve"> </w:t>
      </w:r>
      <w:r>
        <w:rPr>
          <w:b w:val="0"/>
          <w:i/>
          <w:iCs/>
        </w:rPr>
        <w:t xml:space="preserve">STIM2</w:t>
      </w:r>
      <w:r>
        <w:rPr>
          <w:b w:val="0"/>
        </w:rPr>
        <w:t xml:space="preserve"> </w:t>
      </w:r>
      <w:r>
        <w:rPr>
          <w:b w:val="0"/>
        </w:rPr>
        <w:t xml:space="preserve">SOAR exon measured at junction level, with both flanking junctions, in every comparison in which it was measurable.</w:t>
      </w:r>
    </w:p>
    <w:p>
      <w:pPr>
        <w:pStyle w:val="BodyText"/>
        <w:jc w:val="both"/>
      </w:pPr>
      <w:r>
        <w:rPr>
          <w:b/>
          <w:bCs/>
        </w:rPr>
        <w:t>S14.</w:t>
      </w:r>
      <w:r>
        <w:rPr>
          <w:b w:val="0"/>
        </w:rPr>
        <w:t xml:space="preserve"> </w:t>
      </w:r>
      <w:r>
        <w:rPr>
          <w:b w:val="0"/>
        </w:rPr>
        <w:t xml:space="preserve">Control-versus-control null test of the cryptic calling procedure, under the permissive definition and three stricter thresholds.</w:t>
      </w:r>
    </w:p>
    <w:p>
      <w:pPr>
        <w:pStyle w:val="BodyText"/>
        <w:jc w:val="both"/>
      </w:pPr>
      <w:r>
        <w:rPr>
          <w:b/>
          <w:bCs/>
        </w:rPr>
        <w:t>S15.</w:t>
      </w:r>
      <w:r>
        <w:rPr>
          <w:b w:val="0"/>
        </w:rPr>
        <w:t xml:space="preserve"> </w:t>
      </w:r>
      <w:r>
        <w:rPr>
          <w:b w:val="0"/>
        </w:rPr>
        <w:t xml:space="preserve">The same</w:t>
      </w:r>
      <w:r>
        <w:rPr>
          <w:b w:val="0"/>
        </w:rPr>
        <w:t xml:space="preserve"> </w:t>
      </w:r>
      <w:r>
        <w:rPr>
          <w:b w:val="0"/>
          <w:i/>
          <w:iCs/>
        </w:rPr>
        <w:t xml:space="preserve">STIM2.1</w:t>
      </w:r>
      <w:r>
        <w:rPr>
          <w:b w:val="0"/>
        </w:rPr>
        <w:t xml:space="preserve">/SOAR exon measured as an rMATS event, with per-replicate PSI and bootstrap intervals, across six datasets; this estimate is compared with S13 in Section 3.5.</w:t>
      </w:r>
    </w:p>
    <w:p>
      <w:pPr>
        <w:pStyle w:val="BodyText"/>
        <w:jc w:val="both"/>
      </w:pPr>
      <w:r>
        <w:rPr>
          <w:b/>
          <w:bCs/>
        </w:rPr>
        <w:t>S16.</w:t>
      </w:r>
      <w:r>
        <w:rPr>
          <w:b w:val="0"/>
        </w:rPr>
        <w:t xml:space="preserve"> </w:t>
      </w:r>
      <w:r>
        <w:rPr>
          <w:b w:val="0"/>
        </w:rPr>
        <w:t xml:space="preserve">Multiple sclerosis analysis, both cohorts, with myelin adjustment and the donor-level re-analysis.</w:t>
      </w:r>
    </w:p>
    <w:p>
      <w:pPr>
        <w:pStyle w:val="BodyText"/>
        <w:jc w:val="both"/>
      </w:pPr>
      <w:r>
        <w:rPr>
          <w:b/>
          <w:bCs/>
        </w:rPr>
        <w:t>S17.</w:t>
      </w:r>
      <w:r>
        <w:rPr>
          <w:b w:val="0"/>
        </w:rPr>
        <w:t xml:space="preserve"> </w:t>
      </w:r>
      <w:r>
        <w:rPr>
          <w:b w:val="0"/>
        </w:rPr>
        <w:t xml:space="preserve">Accession list for every dataset analysed, with design, library type, run-level groups for knockdown experiments and group definitions for patient cohorts. The supplementary material also contains Figures S1–S8 and their legends.</w:t>
      </w:r>
    </w:p>
    <w:p>
      <w:pPr>
        <w:pStyle w:val="BodyText"/>
      </w:pPr>
      <w:r>
        <w:rPr>
          <w:b/>
        </w:rPr>
        <w:t>S18.</w:t>
      </w:r>
      <w:r>
        <w:rPr>
          <w:b w:val="0"/>
        </w:rPr>
        <w:t xml:space="preserve"> Cell-composition adjustment of TRPC1 in the NYGC cohort: Cliff’s δ for ALS and for the comparison group against the same controls, unadjusted and after regression on SNAP25 or RBFOX3 with or without GFAP, together with the differences in the marker genes themselves.</w:t>
      </w:r>
    </w:p>
    <w:p>
      <w:pPr>
        <w:pStyle w:val="BodyText"/>
      </w:pPr>
      <w:r>
        <w:rPr>
          <w:b/>
        </w:rPr>
        <w:t>S18b.</w:t>
      </w:r>
      <w:r>
        <w:rPr>
          <w:b w:val="0"/>
        </w:rPr>
        <w:t xml:space="preserve"> Cryptic STMN2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pStyle w:val="BodyText"/>
      </w:pPr>
      <w:r>
        <w:rPr>
          <w:b/>
        </w:rPr>
        <w:t>S18c.</w:t>
      </w:r>
      <w:r>
        <w:rPr>
          <w:b w:val="0"/>
        </w:rPr>
        <w:t xml:space="preserve"> Within the comparison group, Spearman and partial (on SNAP25) correlations of TRPC1, SARAF, CBARP and SNAP25 with cryptic STMN2 PSI; and the Spearman correlation of TRPC1 with SNAP25 in every group and region.</w:t>
      </w:r>
    </w:p>
    <w:p>
      <w:pPr>
        <w:pStyle w:val="BodyText"/>
        <w:sectPr>
          <w:footerReference w:type="default" r:id="rIdPageNumberFooter"/>
          <w:footnotePr>
            <w:numRestart w:val="eachSect"/>
          </w:footnotePr>
          <w:type w:val="nextPage"/>
          <w:pgSz w:w="11906" w:h="16838"/>
          <w:pgMar w:top="1440" w:right="1440" w:bottom="1440" w:left="1440" w:header="708" w:footer="708" w:gutter="0"/>
        </w:sectPr>
      </w:pPr>
      <w:r>
        <w:rPr>
          <w:b/>
        </w:rPr>
        <w:t>S18d.</w:t>
      </w:r>
      <w:r>
        <w:rPr>
          <w:b w:val="0"/>
        </w:rPr>
        <w:t xml:space="preserve"> Donor-level NYGC sensitivity analysis: normalised expression averaged within donor and region before testing TRPC1, SARAF and CBARP and before fitting the TRPC1 marker-adjustment models. Correction families comprise regions within each group, gene and model.</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