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jc w:val="center"/>
        <w:rPr>
          <w:b w:val="1"/>
        </w:rPr>
      </w:pPr>
      <w:r>
        <w:rPr>
          <w:rFonts w:ascii="Arial" w:hAnsi="Arial" w:eastAsia="Arial"/>
          <w:b w:val="1"/>
          <w:i w:val="0"/>
          <w:color w:val="000000"/>
          <w:sz w:val="44"/>
        </w:rPr>
        <w:t>Supplementary Material</w:t>
      </w:r>
    </w:p>
    <w:p>
      <w:pPr>
        <w:spacing w:before="160" w:after="440"/>
        <w:jc w:val="center"/>
      </w:pPr>
      <w:r>
        <w:rPr>
          <w:rFonts w:ascii="Arial" w:hAnsi="Arial" w:eastAsia="Arial"/>
          <w:b/>
          <w:color w:val="000000"/>
          <w:sz w:val="28"/>
        </w:rPr>
        <w:t>TDP-43 knockdown is associated with a lower Ca²⁺-readdition response and altered calcium-regulatory RNA profiles in SH-SY5Y cells</w:t>
      </w:r>
    </w:p>
    <w:p>
      <w:pPr>
        <w:spacing w:after="160"/>
        <w:jc w:val="center"/>
      </w:pPr>
      <w:r>
        <w:rPr>
          <w:rFonts w:ascii="Arial" w:hAnsi="Arial" w:eastAsia="Arial"/>
          <w:b/>
          <w:color w:val="000000"/>
          <w:sz w:val="23"/>
        </w:rPr>
        <w:t>Elmasnur Yılmazᵃ, Yasemin Eraçᵃ,*</w:t>
      </w:r>
    </w:p>
    <w:p>
      <w:pPr>
        <w:spacing w:after="120"/>
        <w:jc w:val="center"/>
      </w:pPr>
      <w:r>
        <w:rPr>
          <w:rFonts w:ascii="Arial" w:hAnsi="Arial" w:eastAsia="Arial"/>
          <w:i w:val="0"/>
          <w:color w:val="000000"/>
          <w:sz w:val="20"/>
        </w:rPr>
        <w:t>ᵃ Department of Pharmacology, Faculty of Pharmacy, Ege University, Erzene Mahallesi, Ankara Caddesi No: 172/98, 35040 Bornova, İzmir, Türkiye</w:t>
      </w:r>
    </w:p>
    <w:p>
      <w:pPr>
        <w:spacing w:after="680"/>
        <w:jc w:val="center"/>
      </w:pPr>
      <w:r>
        <w:rPr>
          <w:rFonts w:ascii="Arial" w:hAnsi="Arial" w:eastAsia="Arial"/>
          <w:i w:val="0"/>
          <w:color w:val="000000"/>
          <w:sz w:val="20"/>
        </w:rPr>
        <w:t>* Corresponding author: Yasemin Eraç, yasemin.erac@ege.edu.tr</w:t>
      </w:r>
    </w:p>
    <w:p>
      <w:pPr>
        <w:spacing w:after="160"/>
        <w:jc w:val="center"/>
        <w:rPr>
          <w:b w:val="1"/>
        </w:rPr>
      </w:pPr>
      <w:r>
        <w:rPr>
          <w:rFonts w:ascii="Arial" w:hAnsi="Arial" w:eastAsia="Arial"/>
          <w:b w:val="1"/>
          <w:i w:val="0"/>
          <w:color w:val="000000"/>
          <w:sz w:val="24"/>
        </w:rPr>
        <w:t>Contents</w:t>
      </w:r>
    </w:p>
    <w:p>
      <w:pPr>
        <w:tabs>
          <w:tab w:pos="6552" w:val="right"/>
        </w:tabs>
        <w:spacing w:after="100"/>
        <w:ind w:left="1512" w:right="1512"/>
      </w:pPr>
      <w:r>
        <w:rPr>
          <w:rFonts w:ascii="Arial" w:hAnsi="Arial" w:eastAsia="Arial"/>
          <w:b/>
          <w:i w:val="0"/>
          <w:color w:val="000000"/>
          <w:sz w:val="20"/>
        </w:rPr>
        <w:t>Supplementary data files</w:t>
      </w:r>
      <w:r>
        <w:rPr>
          <w:rFonts w:ascii="Arial" w:hAnsi="Arial" w:eastAsia="Arial"/>
          <w:i w:val="0"/>
          <w:color w:val="000000"/>
          <w:sz w:val="20"/>
        </w:rPr>
        <w:tab/>
        <w:t>S1–S18d</w:t>
      </w:r>
    </w:p>
    <w:p>
      <w:pPr>
        <w:tabs>
          <w:tab w:pos="6552" w:val="right"/>
        </w:tabs>
        <w:spacing w:after="100"/>
        <w:ind w:left="1512" w:right="1512"/>
      </w:pPr>
      <w:r>
        <w:t>Supplementary results</w:t>
        <w:tab/>
        <w:t>1–4</w:t>
      </w:r>
    </w:p>
    <w:p>
      <w:pPr>
        <w:tabs>
          <w:tab w:pos="6552" w:val="right"/>
        </w:tabs>
        <w:spacing w:after="100"/>
        <w:ind w:left="1512" w:right="1512"/>
      </w:pPr>
      <w:r>
        <w:rPr>
          <w:rFonts w:ascii="Arial" w:hAnsi="Arial" w:eastAsia="Arial"/>
          <w:b/>
          <w:i w:val="0"/>
          <w:color w:val="000000"/>
          <w:sz w:val="20"/>
        </w:rPr>
        <w:t>Supplementary figures</w:t>
      </w:r>
      <w:r>
        <w:rPr>
          <w:rFonts w:ascii="Arial" w:hAnsi="Arial" w:eastAsia="Arial"/>
          <w:i w:val="0"/>
          <w:color w:val="000000"/>
          <w:sz w:val="20"/>
        </w:rPr>
        <w:tab/>
        <w:t>S1–S8</w:t>
      </w:r>
    </w:p>
    <w:p>
      <w:r>
        <w:br w:type="page"/>
      </w:r>
    </w:p>
    <w:p>
      <w:pPr>
        <w:pStyle w:val="Heading1"/>
        <w:rPr>
          <w:b w:val="1"/>
        </w:rPr>
        <w:jc w:val="left"/>
      </w:pPr>
      <w:r>
        <w:rPr>
          <w:b w:val="1"/>
        </w:rPr>
        <w:t>Supplementary data files</w:t>
      </w:r>
    </w:p>
    <w:p>
      <w:pPr>
        <w:spacing w:after="200"/>
        <w:jc w:val="both"/>
      </w:pPr>
      <w:r>
        <w:rPr>
          <w:i w:val="0"/>
        </w:rPr>
        <w:t>The machine-readable files listed below accompany the manuscript and provide the source values, event-level results and cohort-level analyses used in the main text and supplementary figures.</w:t>
      </w:r>
    </w:p>
    <w:p>
      <w:pPr>
        <w:keepLines/>
        <w:spacing w:after="60"/>
        <w:ind w:left="403" w:hanging="403"/>
        <w:jc w:val="both"/>
      </w:pPr>
      <w:r>
        <w:rPr>
          <w:rFonts w:ascii="Arial" w:hAnsi="Arial" w:eastAsia="Arial"/>
          <w:b/>
          <w:i w:val="0"/>
          <w:color w:val="000000"/>
          <w:sz w:val="19"/>
        </w:rPr>
        <w:t>S1.</w:t>
      </w:r>
      <w:r>
        <w:rPr>
          <w:rFonts w:ascii="Arial" w:hAnsi="Arial" w:eastAsia="Arial"/>
          <w:b w:val="0"/>
          <w:i w:val="0"/>
          <w:color w:val="000000"/>
          <w:sz w:val="19"/>
        </w:rPr>
        <w:t xml:space="preserve"> Laboratory source data: raw Ct and relative expression from four technical RT-qPCR measurements per group, Fura-2 amplitudes from three wells per group on one culture plate, WST-1 values from four wells of one experiment, primers and thermal profile. All laboratory summaries are descriptive.</w:t>
      </w:r>
      <w:r>
        <w:rPr>
          <w:rFonts w:ascii="Arial" w:hAnsi="Arial" w:eastAsia="Arial"/>
          <w:b w:val="0"/>
          <w:i w:val="0"/>
          <w:color w:val="000000"/>
          <w:sz w:val="19"/>
        </w:rPr>
        <w:t/>
      </w:r>
    </w:p>
    <w:p>
      <w:pPr>
        <w:keepLines/>
        <w:spacing w:after="60"/>
        <w:ind w:left="403" w:hanging="403"/>
        <w:jc w:val="both"/>
      </w:pPr>
      <w:r>
        <w:rPr>
          <w:rFonts w:ascii="Arial" w:hAnsi="Arial" w:eastAsia="Arial"/>
          <w:b/>
          <w:i w:val="0"/>
          <w:color w:val="000000"/>
          <w:sz w:val="19"/>
        </w:rPr>
        <w:t>S2.</w:t>
      </w:r>
      <w:r>
        <w:rPr>
          <w:rFonts w:ascii="Arial" w:hAnsi="Arial" w:eastAsia="Arial"/>
          <w:b w:val="0"/>
          <w:i w:val="0"/>
          <w:color w:val="000000"/>
          <w:sz w:val="19"/>
        </w:rPr>
        <w:t xml:space="preserve"> </w:t>
      </w:r>
      <w:r>
        <w:rPr>
          <w:rFonts w:ascii="Arial" w:hAnsi="Arial" w:eastAsia="Arial"/>
          <w:b w:val="0"/>
          <w:i w:val="0"/>
          <w:color w:val="000000"/>
          <w:sz w:val="19"/>
        </w:rPr>
        <w:t>Ca²⁺ gene panels (four cumulative sets).</w:t>
      </w:r>
    </w:p>
    <w:p>
      <w:pPr>
        <w:keepLines/>
        <w:spacing w:after="60"/>
        <w:ind w:left="403" w:hanging="403"/>
        <w:jc w:val="both"/>
      </w:pPr>
      <w:r>
        <w:rPr>
          <w:rFonts w:ascii="Arial" w:hAnsi="Arial" w:eastAsia="Arial"/>
          <w:b/>
          <w:i w:val="0"/>
          <w:color w:val="000000"/>
          <w:sz w:val="19"/>
        </w:rPr>
        <w:t>S3.</w:t>
      </w:r>
      <w:r>
        <w:rPr>
          <w:rFonts w:ascii="Arial" w:hAnsi="Arial" w:eastAsia="Arial"/>
          <w:b w:val="0"/>
          <w:i w:val="0"/>
          <w:color w:val="000000"/>
          <w:sz w:val="19"/>
        </w:rPr>
        <w:t xml:space="preserve"> </w:t>
      </w:r>
      <w:r>
        <w:rPr>
          <w:rFonts w:ascii="Arial" w:hAnsi="Arial" w:eastAsia="Arial"/>
          <w:b w:val="0"/>
          <w:i w:val="0"/>
          <w:color w:val="000000"/>
          <w:sz w:val="19"/>
        </w:rPr>
        <w:t>rMATS events meeting FDR &lt; 0.05 and |ΔPSI| ≥ 0.10, JC and JCEC, six datasets, with the raw junction counts needed to reproduce the coverage pre-filter.</w:t>
      </w:r>
    </w:p>
    <w:p>
      <w:pPr>
        <w:keepLines/>
        <w:spacing w:after="60"/>
        <w:ind w:left="403" w:hanging="403"/>
        <w:jc w:val="both"/>
      </w:pPr>
      <w:r>
        <w:rPr>
          <w:rFonts w:ascii="Arial" w:hAnsi="Arial" w:eastAsia="Arial"/>
          <w:b/>
          <w:i w:val="0"/>
          <w:color w:val="000000"/>
          <w:sz w:val="19"/>
        </w:rPr>
        <w:t>S4.</w:t>
      </w:r>
      <w:r>
        <w:rPr>
          <w:rFonts w:ascii="Arial" w:hAnsi="Arial" w:eastAsia="Arial"/>
          <w:b w:val="0"/>
          <w:i w:val="0"/>
          <w:color w:val="000000"/>
          <w:sz w:val="19"/>
        </w:rPr>
        <w:t xml:space="preserve"> </w:t>
      </w:r>
      <w:r>
        <w:rPr>
          <w:rFonts w:ascii="Arial" w:hAnsi="Arial" w:eastAsia="Arial"/>
          <w:b w:val="0"/>
          <w:i w:val="0"/>
          <w:color w:val="000000"/>
          <w:sz w:val="19"/>
        </w:rPr>
        <w:t>Matched permutation enrichment results, all datasets and panels.</w:t>
      </w:r>
    </w:p>
    <w:p>
      <w:pPr>
        <w:keepLines/>
        <w:spacing w:after="60"/>
        <w:ind w:left="403" w:hanging="403"/>
        <w:jc w:val="both"/>
      </w:pPr>
      <w:r>
        <w:rPr>
          <w:rFonts w:ascii="Arial" w:hAnsi="Arial" w:eastAsia="Arial"/>
          <w:b/>
          <w:i w:val="0"/>
          <w:color w:val="000000"/>
          <w:sz w:val="19"/>
        </w:rPr>
        <w:t>S5.</w:t>
      </w:r>
      <w:r>
        <w:rPr>
          <w:rFonts w:ascii="Arial" w:hAnsi="Arial" w:eastAsia="Arial"/>
          <w:b w:val="0"/>
          <w:i w:val="0"/>
          <w:color w:val="000000"/>
          <w:sz w:val="19"/>
        </w:rPr>
        <w:t xml:space="preserve"> </w:t>
      </w:r>
      <w:r>
        <w:rPr>
          <w:rFonts w:ascii="Arial" w:hAnsi="Arial" w:eastAsia="Arial"/>
          <w:b w:val="0"/>
          <w:i w:val="0"/>
          <w:color w:val="000000"/>
          <w:sz w:val="19"/>
        </w:rPr>
        <w:t>High-confidence unannotated splicing changes in every comparison, including the independently produced mapping-quality-filtered SH-SY5Y junction set.</w:t>
      </w:r>
    </w:p>
    <w:p>
      <w:pPr>
        <w:keepLines/>
        <w:spacing w:after="60"/>
        <w:ind w:left="403" w:hanging="403"/>
        <w:jc w:val="both"/>
      </w:pPr>
      <w:r>
        <w:rPr>
          <w:rFonts w:ascii="Arial" w:hAnsi="Arial" w:eastAsia="Arial"/>
          <w:b/>
          <w:i w:val="0"/>
          <w:color w:val="000000"/>
          <w:sz w:val="19"/>
        </w:rPr>
        <w:t>S6.</w:t>
      </w:r>
      <w:r>
        <w:rPr>
          <w:rFonts w:ascii="Arial" w:hAnsi="Arial" w:eastAsia="Arial"/>
          <w:b w:val="0"/>
          <w:i w:val="0"/>
          <w:color w:val="000000"/>
          <w:sz w:val="19"/>
        </w:rPr>
        <w:t xml:space="preserve"> </w:t>
      </w:r>
      <w:r>
        <w:rPr>
          <w:rFonts w:ascii="Arial" w:hAnsi="Arial" w:eastAsia="Arial"/>
          <w:b w:val="0"/>
          <w:i w:val="0"/>
          <w:color w:val="000000"/>
          <w:sz w:val="19"/>
        </w:rPr>
        <w:t>Cryptic positive controls, the sixteen literature genes, and the dataset × gene recovery matrix for the human comparisons.</w:t>
      </w:r>
    </w:p>
    <w:p>
      <w:pPr>
        <w:keepLines/>
        <w:spacing w:after="60"/>
        <w:ind w:left="403" w:hanging="403"/>
        <w:jc w:val="both"/>
      </w:pPr>
      <w:r>
        <w:rPr>
          <w:rFonts w:ascii="Arial" w:hAnsi="Arial" w:eastAsia="Arial"/>
          <w:b/>
          <w:i w:val="0"/>
          <w:color w:val="000000"/>
          <w:sz w:val="19"/>
        </w:rPr>
        <w:t>S7.</w:t>
      </w:r>
      <w:r>
        <w:rPr>
          <w:rFonts w:ascii="Arial" w:hAnsi="Arial" w:eastAsia="Arial"/>
          <w:b w:val="0"/>
          <w:i w:val="0"/>
          <w:color w:val="000000"/>
          <w:sz w:val="19"/>
        </w:rPr>
        <w:t xml:space="preserve"> </w:t>
      </w:r>
      <w:r>
        <w:rPr>
          <w:rFonts w:ascii="Arial" w:hAnsi="Arial" w:eastAsia="Arial"/>
          <w:b w:val="0"/>
          <w:i w:val="0"/>
          <w:color w:val="000000"/>
          <w:sz w:val="19"/>
        </w:rPr>
        <w:t>SOCE genes in the annotation-free analysis.</w:t>
      </w:r>
    </w:p>
    <w:p>
      <w:pPr>
        <w:keepLines/>
        <w:spacing w:after="60"/>
        <w:ind w:left="403" w:hanging="403"/>
        <w:jc w:val="both"/>
      </w:pPr>
      <w:r>
        <w:rPr>
          <w:rFonts w:ascii="Arial" w:hAnsi="Arial" w:eastAsia="Arial"/>
          <w:b/>
          <w:i w:val="0"/>
          <w:color w:val="000000"/>
          <w:sz w:val="19"/>
        </w:rPr>
        <w:t>S8.</w:t>
      </w:r>
      <w:r>
        <w:rPr>
          <w:rFonts w:ascii="Arial" w:hAnsi="Arial" w:eastAsia="Arial"/>
          <w:b w:val="0"/>
          <w:i w:val="0"/>
          <w:color w:val="000000"/>
          <w:sz w:val="19"/>
        </w:rPr>
        <w:t xml:space="preserve"> </w:t>
      </w:r>
      <w:r>
        <w:rPr>
          <w:rFonts w:ascii="Arial" w:hAnsi="Arial" w:eastAsia="Arial"/>
          <w:b w:val="0"/>
          <w:i w:val="0"/>
          <w:color w:val="000000"/>
          <w:sz w:val="19"/>
        </w:rPr>
        <w:t xml:space="preserve">Cryptic </w:t>
      </w:r>
      <w:r>
        <w:rPr>
          <w:rFonts w:ascii="Arial" w:hAnsi="Arial" w:eastAsia="Arial"/>
          <w:b w:val="0"/>
          <w:i/>
          <w:color w:val="000000"/>
          <w:sz w:val="19"/>
        </w:rPr>
        <w:t>STMN2</w:t>
      </w:r>
      <w:r>
        <w:rPr>
          <w:rFonts w:ascii="Arial" w:hAnsi="Arial" w:eastAsia="Arial"/>
          <w:b w:val="0"/>
          <w:i w:val="0"/>
          <w:color w:val="000000"/>
          <w:sz w:val="19"/>
        </w:rPr>
        <w:t xml:space="preserve"> PSI in ALS versus control by region (NYGC).</w:t>
      </w:r>
    </w:p>
    <w:p>
      <w:pPr>
        <w:keepLines/>
        <w:spacing w:after="60"/>
        <w:ind w:left="403" w:hanging="403"/>
        <w:jc w:val="both"/>
      </w:pPr>
      <w:r>
        <w:rPr>
          <w:rFonts w:ascii="Arial" w:hAnsi="Arial" w:eastAsia="Arial"/>
          <w:b/>
          <w:i w:val="0"/>
          <w:color w:val="000000"/>
          <w:sz w:val="19"/>
        </w:rPr>
        <w:t>S9.</w:t>
      </w:r>
      <w:r>
        <w:rPr>
          <w:rFonts w:ascii="Arial" w:hAnsi="Arial" w:eastAsia="Arial"/>
          <w:b w:val="0"/>
          <w:i w:val="0"/>
          <w:color w:val="000000"/>
          <w:sz w:val="19"/>
        </w:rPr>
        <w:t xml:space="preserve"> </w:t>
      </w:r>
      <w:r>
        <w:rPr>
          <w:rFonts w:ascii="Arial" w:hAnsi="Arial" w:eastAsia="Arial"/>
          <w:b w:val="0"/>
          <w:i w:val="0"/>
          <w:color w:val="000000"/>
          <w:sz w:val="19"/>
        </w:rPr>
        <w:t>Correlations of both TDP-43 proxies with target genes within ALS samples; the in_correction_family column marks the 220 informative tests over which the Benjamini–Hochberg correction was applied.</w:t>
      </w:r>
    </w:p>
    <w:p>
      <w:pPr>
        <w:keepLines/>
        <w:spacing w:after="60"/>
        <w:ind w:left="403" w:hanging="403"/>
        <w:jc w:val="both"/>
      </w:pPr>
      <w:r>
        <w:rPr>
          <w:rFonts w:ascii="Arial" w:hAnsi="Arial" w:eastAsia="Arial"/>
          <w:b/>
          <w:i w:val="0"/>
          <w:color w:val="000000"/>
          <w:sz w:val="19"/>
        </w:rPr>
        <w:t>S10.</w:t>
      </w:r>
      <w:r>
        <w:rPr>
          <w:rFonts w:ascii="Arial" w:hAnsi="Arial" w:eastAsia="Arial"/>
          <w:b w:val="0"/>
          <w:i w:val="0"/>
          <w:color w:val="000000"/>
          <w:sz w:val="19"/>
        </w:rPr>
        <w:t xml:space="preserve"> Descriptive TDP-43 × NMD-inhibition interactions for calcium-panel and reference genes: four condition estimates, mean, range and positive-condition count. No inferential p or q values are reported.</w:t>
      </w:r>
      <w:r>
        <w:rPr>
          <w:rFonts w:ascii="Arial" w:hAnsi="Arial" w:eastAsia="Arial"/>
          <w:b w:val="0"/>
          <w:color w:val="000000"/>
          <w:sz w:val="19"/>
        </w:rPr>
        <w:t/>
      </w:r>
    </w:p>
    <w:p>
      <w:pPr>
        <w:spacing w:after="60"/>
      </w:pPr>
      <w:r>
        <w:rPr>
          <w:b/>
          <w:i w:val="0"/>
        </w:rPr>
        <w:t>S10b.</w:t>
      </w:r>
      <w:r>
        <w:rPr>
          <w:b w:val="0"/>
          <w:i w:val="0"/>
        </w:rPr>
        <w:t xml:space="preserve"> Descriptive calcium-panel and cryptic-splicing-reference summaries of the NMD interactions. The cryptic-splicing references are not a validated NMD-positive control panel.</w:t>
      </w:r>
    </w:p>
    <w:p>
      <w:pPr>
        <w:keepLines/>
        <w:spacing w:after="60"/>
        <w:ind w:left="403" w:hanging="403"/>
        <w:jc w:val="both"/>
      </w:pPr>
      <w:r>
        <w:rPr>
          <w:rFonts w:ascii="Arial" w:hAnsi="Arial" w:eastAsia="Arial"/>
          <w:b/>
          <w:i w:val="0"/>
          <w:color w:val="000000"/>
          <w:sz w:val="19"/>
        </w:rPr>
        <w:t>S11.</w:t>
      </w:r>
      <w:r>
        <w:rPr>
          <w:rFonts w:ascii="Arial" w:hAnsi="Arial" w:eastAsia="Arial"/>
          <w:b w:val="0"/>
          <w:i w:val="0"/>
          <w:color w:val="000000"/>
          <w:sz w:val="19"/>
        </w:rPr>
        <w:t xml:space="preserve"> </w:t>
      </w:r>
      <w:r>
        <w:rPr>
          <w:rFonts w:ascii="Arial" w:hAnsi="Arial" w:eastAsia="Arial"/>
          <w:b w:val="0"/>
          <w:i w:val="0"/>
          <w:color w:val="000000"/>
          <w:sz w:val="19"/>
        </w:rPr>
        <w:t>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p>
    <w:p>
      <w:pPr>
        <w:keepLines/>
        <w:spacing w:after="60"/>
        <w:ind w:left="403" w:hanging="403"/>
        <w:jc w:val="both"/>
      </w:pPr>
      <w:r>
        <w:rPr>
          <w:rFonts w:ascii="Arial" w:hAnsi="Arial" w:eastAsia="Arial"/>
          <w:b/>
          <w:i w:val="0"/>
          <w:color w:val="000000"/>
          <w:sz w:val="19"/>
        </w:rPr>
        <w:t>S12.</w:t>
      </w:r>
      <w:r>
        <w:rPr>
          <w:rFonts w:ascii="Arial" w:hAnsi="Arial" w:eastAsia="Arial"/>
          <w:b w:val="0"/>
          <w:i w:val="0"/>
          <w:color w:val="000000"/>
          <w:sz w:val="19"/>
        </w:rPr>
        <w:t xml:space="preserve"> </w:t>
      </w:r>
      <w:r>
        <w:rPr>
          <w:rFonts w:ascii="Arial" w:hAnsi="Arial" w:eastAsia="Arial"/>
          <w:b w:val="0"/>
          <w:i w:val="0"/>
          <w:color w:val="000000"/>
          <w:sz w:val="19"/>
        </w:rPr>
        <w:t>Machine-readable version of Table 4: cryptic event counts by comparison, with the FUS and TAF15 knockdown controls and the null-test ratios.</w:t>
      </w:r>
    </w:p>
    <w:p>
      <w:pPr>
        <w:keepLines/>
        <w:spacing w:after="60"/>
        <w:ind w:left="403" w:hanging="403"/>
        <w:jc w:val="both"/>
      </w:pPr>
      <w:r>
        <w:rPr>
          <w:rFonts w:ascii="Arial" w:hAnsi="Arial" w:eastAsia="Arial"/>
          <w:b/>
          <w:i w:val="0"/>
          <w:color w:val="000000"/>
          <w:sz w:val="19"/>
        </w:rPr>
        <w:t>S13.</w:t>
      </w:r>
      <w:r>
        <w:rPr>
          <w:rFonts w:ascii="Arial" w:hAnsi="Arial" w:eastAsia="Arial"/>
          <w:b w:val="0"/>
          <w:i w:val="0"/>
          <w:color w:val="000000"/>
          <w:sz w:val="19"/>
        </w:rPr>
        <w:t xml:space="preserve"> </w:t>
      </w:r>
      <w:r>
        <w:rPr>
          <w:rFonts w:ascii="Arial" w:hAnsi="Arial" w:eastAsia="Arial"/>
          <w:b w:val="0"/>
          <w:i/>
          <w:color w:val="000000"/>
          <w:sz w:val="19"/>
        </w:rPr>
        <w:t>STIM2</w:t>
      </w:r>
      <w:r>
        <w:rPr>
          <w:rFonts w:ascii="Arial" w:hAnsi="Arial" w:eastAsia="Arial"/>
          <w:b w:val="0"/>
          <w:i w:val="0"/>
          <w:color w:val="000000"/>
          <w:sz w:val="19"/>
        </w:rPr>
        <w:t xml:space="preserve"> SOAR exon measured at junction level, with both flanking junctions, in every comparison in which it was measurable.</w:t>
      </w:r>
    </w:p>
    <w:p>
      <w:pPr>
        <w:keepLines/>
        <w:spacing w:after="60"/>
        <w:ind w:left="403" w:hanging="403"/>
        <w:jc w:val="both"/>
      </w:pPr>
      <w:r>
        <w:rPr>
          <w:rFonts w:ascii="Arial" w:hAnsi="Arial" w:eastAsia="Arial"/>
          <w:b/>
          <w:i w:val="0"/>
          <w:color w:val="000000"/>
          <w:sz w:val="19"/>
        </w:rPr>
        <w:t>S14.</w:t>
      </w:r>
      <w:r>
        <w:rPr>
          <w:rFonts w:ascii="Arial" w:hAnsi="Arial" w:eastAsia="Arial"/>
          <w:b w:val="0"/>
          <w:i w:val="0"/>
          <w:color w:val="000000"/>
          <w:sz w:val="19"/>
        </w:rPr>
        <w:t xml:space="preserve"> </w:t>
      </w:r>
      <w:r>
        <w:rPr>
          <w:rFonts w:ascii="Arial" w:hAnsi="Arial" w:eastAsia="Arial"/>
          <w:b w:val="0"/>
          <w:i w:val="0"/>
          <w:color w:val="000000"/>
          <w:sz w:val="19"/>
        </w:rPr>
        <w:t>Control-versus-control null test of the cryptic calling procedure, under the permissive definition and three stricter thresholds.</w:t>
      </w:r>
    </w:p>
    <w:p>
      <w:pPr>
        <w:keepLines/>
        <w:spacing w:after="60"/>
        <w:ind w:left="403" w:hanging="403"/>
        <w:jc w:val="both"/>
      </w:pPr>
      <w:r>
        <w:rPr>
          <w:rFonts w:ascii="Arial" w:hAnsi="Arial" w:eastAsia="Arial"/>
          <w:b/>
          <w:i w:val="0"/>
          <w:color w:val="000000"/>
          <w:sz w:val="19"/>
        </w:rPr>
        <w:t>S15.</w:t>
      </w:r>
      <w:r>
        <w:rPr>
          <w:rFonts w:ascii="Arial" w:hAnsi="Arial" w:eastAsia="Arial"/>
          <w:b w:val="0"/>
          <w:i w:val="0"/>
          <w:color w:val="000000"/>
          <w:sz w:val="19"/>
        </w:rPr>
        <w:t xml:space="preserve"> </w:t>
      </w:r>
      <w:r>
        <w:rPr>
          <w:rFonts w:ascii="Arial" w:hAnsi="Arial" w:eastAsia="Arial"/>
          <w:b w:val="0"/>
          <w:i w:val="0"/>
          <w:color w:val="000000"/>
          <w:sz w:val="19"/>
        </w:rPr>
        <w:t xml:space="preserve">The same </w:t>
      </w:r>
      <w:r>
        <w:rPr>
          <w:rFonts w:ascii="Arial" w:hAnsi="Arial" w:eastAsia="Arial"/>
          <w:b w:val="0"/>
          <w:i/>
          <w:color w:val="000000"/>
          <w:sz w:val="19"/>
        </w:rPr>
        <w:t>STIM2</w:t>
      </w:r>
      <w:r>
        <w:rPr>
          <w:rFonts w:ascii="Arial" w:hAnsi="Arial" w:eastAsia="Arial"/>
          <w:b w:val="0"/>
          <w:i w:val="0"/>
          <w:color w:val="000000"/>
          <w:sz w:val="19"/>
        </w:rPr>
        <w:t>.1/SOAR exon measured as an rMATS event, with per-replicate PSI and bootstrap intervals, across six datasets, the estimate compared with S13 in Section 3.5.</w:t>
      </w:r>
    </w:p>
    <w:p>
      <w:pPr>
        <w:keepLines/>
        <w:spacing w:after="60"/>
        <w:ind w:left="403" w:hanging="403"/>
        <w:jc w:val="both"/>
      </w:pPr>
      <w:r>
        <w:rPr>
          <w:rFonts w:ascii="Arial" w:hAnsi="Arial" w:eastAsia="Arial"/>
          <w:b/>
          <w:i w:val="0"/>
          <w:color w:val="000000"/>
          <w:sz w:val="19"/>
        </w:rPr>
        <w:t>S16.</w:t>
      </w:r>
      <w:r>
        <w:rPr>
          <w:rFonts w:ascii="Arial" w:hAnsi="Arial" w:eastAsia="Arial"/>
          <w:b w:val="0"/>
          <w:i w:val="0"/>
          <w:color w:val="000000"/>
          <w:sz w:val="19"/>
        </w:rPr>
        <w:t xml:space="preserve"> </w:t>
      </w:r>
      <w:r>
        <w:rPr>
          <w:rFonts w:ascii="Arial" w:hAnsi="Arial" w:eastAsia="Arial"/>
          <w:b w:val="0"/>
          <w:i w:val="0"/>
          <w:color w:val="000000"/>
          <w:sz w:val="19"/>
        </w:rPr>
        <w:t>Multiple sclerosis analysis, both cohorts, with myelin adjustment and the donor-level re-analysis.</w:t>
      </w:r>
    </w:p>
    <w:p>
      <w:pPr>
        <w:keepLines/>
        <w:spacing w:after="60"/>
        <w:ind w:left="403" w:hanging="403"/>
        <w:jc w:val="both"/>
      </w:pPr>
      <w:r>
        <w:rPr>
          <w:rFonts w:ascii="Arial" w:hAnsi="Arial" w:eastAsia="Arial"/>
          <w:b/>
          <w:i w:val="0"/>
          <w:color w:val="000000"/>
          <w:sz w:val="19"/>
        </w:rPr>
        <w:t>S17.</w:t>
      </w:r>
      <w:r>
        <w:rPr>
          <w:rFonts w:ascii="Arial" w:hAnsi="Arial" w:eastAsia="Arial"/>
          <w:b w:val="0"/>
          <w:i w:val="0"/>
          <w:color w:val="000000"/>
          <w:sz w:val="19"/>
        </w:rPr>
        <w:t xml:space="preserve"> </w:t>
      </w:r>
      <w:r>
        <w:rPr>
          <w:rFonts w:ascii="Arial" w:hAnsi="Arial" w:eastAsia="Arial"/>
          <w:b w:val="0"/>
          <w:i w:val="0"/>
          <w:color w:val="000000"/>
          <w:sz w:val="19"/>
        </w:rPr>
        <w:t>Accession list for every dataset analysed, with design, library type, run-level groups for knockdown experiments and group definitions for patient cohorts.</w:t>
      </w:r>
    </w:p>
    <w:p>
      <w:pPr>
        <w:keepLines/>
        <w:spacing w:after="60"/>
        <w:ind w:left="403" w:hanging="403"/>
        <w:jc w:val="both"/>
      </w:pPr>
      <w:r>
        <w:rPr>
          <w:b/>
          <w:i w:val="0"/>
        </w:rPr>
        <w:t>S18.</w:t>
      </w:r>
      <w:r>
        <w:rPr>
          <w:b w:val="0"/>
          <w:i w:val="0"/>
        </w:rPr>
        <w:t xml:space="preserve"> Cell-composition adjustment of </w:t>
      </w:r>
      <w:r>
        <w:rPr>
          <w:b w:val="0"/>
          <w:i/>
        </w:rPr>
        <w:t>TRPC1</w:t>
      </w:r>
      <w:r>
        <w:rPr>
          <w:b w:val="0"/>
          <w:i w:val="0"/>
        </w:rPr>
        <w:t xml:space="preserve"> in the NYGC cohort: Cliff’s δ for ALS and for the comparison group against the same controls, unadjusted and after regression on </w:t>
      </w:r>
      <w:r>
        <w:rPr>
          <w:b w:val="0"/>
          <w:i/>
        </w:rPr>
        <w:t>SNAP25</w:t>
      </w:r>
      <w:r>
        <w:rPr>
          <w:b w:val="0"/>
          <w:i w:val="0"/>
        </w:rPr>
        <w:t xml:space="preserve"> or </w:t>
      </w:r>
      <w:r>
        <w:rPr>
          <w:b w:val="0"/>
          <w:i/>
        </w:rPr>
        <w:t>RBFOX3</w:t>
      </w:r>
      <w:r>
        <w:rPr>
          <w:b w:val="0"/>
          <w:i w:val="0"/>
        </w:rPr>
        <w:t xml:space="preserve"> with or without </w:t>
      </w:r>
      <w:r>
        <w:rPr>
          <w:b w:val="0"/>
          <w:i/>
        </w:rPr>
        <w:t>GFAP</w:t>
      </w:r>
      <w:r>
        <w:rPr>
          <w:b w:val="0"/>
          <w:i w:val="0"/>
        </w:rPr>
        <w:t>, together with the differences in the marker genes themselves.</w:t>
      </w:r>
    </w:p>
    <w:p>
      <w:pPr>
        <w:keepLines/>
        <w:spacing w:after="60"/>
        <w:ind w:left="403" w:hanging="403"/>
        <w:jc w:val="both"/>
      </w:pPr>
      <w:r>
        <w:rPr>
          <w:b/>
          <w:i w:val="0"/>
        </w:rPr>
        <w:t>S18b.</w:t>
      </w:r>
      <w:r>
        <w:rPr>
          <w:b w:val="0"/>
          <w:i w:val="0"/>
        </w:rPr>
        <w:t xml:space="preserve"> Cryptic </w:t>
      </w:r>
      <w:r>
        <w:rPr>
          <w:b w:val="0"/>
          <w:i/>
        </w:rPr>
        <w:t>STMN2</w:t>
      </w:r>
      <w:r>
        <w:rPr>
          <w:b w:val="0"/>
          <w:i w:val="0"/>
        </w:rPr>
        <w:t xml:space="preserve">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keepLines/>
        <w:spacing w:after="60"/>
        <w:ind w:left="403" w:hanging="403"/>
        <w:jc w:val="both"/>
      </w:pPr>
      <w:r>
        <w:rPr>
          <w:b/>
          <w:i w:val="0"/>
        </w:rPr>
        <w:t>S18c.</w:t>
      </w:r>
      <w:r>
        <w:rPr>
          <w:b w:val="0"/>
          <w:i w:val="0"/>
        </w:rPr>
        <w:t xml:space="preserve"> Within the comparison group, Spearman and partial (on </w:t>
      </w:r>
      <w:r>
        <w:rPr>
          <w:b w:val="0"/>
          <w:i/>
        </w:rPr>
        <w:t>SNAP25</w:t>
      </w:r>
      <w:r>
        <w:rPr>
          <w:b w:val="0"/>
          <w:i w:val="0"/>
        </w:rPr>
        <w:t xml:space="preserve">) correlations of </w:t>
      </w:r>
      <w:r>
        <w:rPr>
          <w:b w:val="0"/>
          <w:i/>
        </w:rPr>
        <w:t>TRPC1</w:t>
      </w:r>
      <w:r>
        <w:rPr>
          <w:b w:val="0"/>
          <w:i w:val="0"/>
        </w:rPr>
        <w:t xml:space="preserve">, </w:t>
      </w:r>
      <w:r>
        <w:rPr>
          <w:b w:val="0"/>
          <w:i/>
        </w:rPr>
        <w:t>SARAF</w:t>
      </w:r>
      <w:r>
        <w:rPr>
          <w:b w:val="0"/>
          <w:i w:val="0"/>
        </w:rPr>
        <w:t xml:space="preserve">, </w:t>
      </w:r>
      <w:r>
        <w:rPr>
          <w:b w:val="0"/>
          <w:i/>
        </w:rPr>
        <w:t>CBARP</w:t>
      </w:r>
      <w:r>
        <w:rPr>
          <w:b w:val="0"/>
          <w:i w:val="0"/>
        </w:rPr>
        <w:t xml:space="preserve"> and </w:t>
      </w:r>
      <w:r>
        <w:rPr>
          <w:b w:val="0"/>
          <w:i/>
        </w:rPr>
        <w:t>SNAP25</w:t>
      </w:r>
      <w:r>
        <w:rPr>
          <w:b w:val="0"/>
          <w:i w:val="0"/>
        </w:rPr>
        <w:t xml:space="preserve"> with cryptic </w:t>
      </w:r>
      <w:r>
        <w:rPr>
          <w:b w:val="0"/>
          <w:i/>
        </w:rPr>
        <w:t>STMN2</w:t>
      </w:r>
      <w:r>
        <w:rPr>
          <w:b w:val="0"/>
          <w:i w:val="0"/>
        </w:rPr>
        <w:t xml:space="preserve"> PSI; and the Spearman correlation of </w:t>
      </w:r>
      <w:r>
        <w:rPr>
          <w:b w:val="0"/>
          <w:i/>
        </w:rPr>
        <w:t>TRPC1</w:t>
      </w:r>
      <w:r>
        <w:rPr>
          <w:b w:val="0"/>
          <w:i w:val="0"/>
        </w:rPr>
        <w:t xml:space="preserve"> with </w:t>
      </w:r>
      <w:r>
        <w:rPr>
          <w:b w:val="0"/>
          <w:i/>
        </w:rPr>
        <w:t>SNAP25</w:t>
      </w:r>
      <w:r>
        <w:rPr>
          <w:b w:val="0"/>
          <w:i w:val="0"/>
        </w:rPr>
        <w:t xml:space="preserve"> in every group and region.</w:t>
      </w:r>
    </w:p>
    <w:p>
      <w:pPr>
        <w:spacing w:after="60"/>
      </w:pPr>
      <w:r>
        <w:rPr>
          <w:b/>
          <w:i w:val="0"/>
        </w:rPr>
        <w:t>S18d.</w:t>
      </w:r>
      <w:r>
        <w:rPr>
          <w:b w:val="0"/>
          <w:i w:val="0"/>
        </w:rPr>
        <w:t xml:space="preserve"> Donor-level NYGC sensitivity analysis: normalised expression averaged within donor and region before testing </w:t>
      </w:r>
      <w:r>
        <w:rPr>
          <w:b w:val="0"/>
          <w:i/>
        </w:rPr>
        <w:t>TRPC1</w:t>
      </w:r>
      <w:r>
        <w:rPr>
          <w:b w:val="0"/>
          <w:i w:val="0"/>
        </w:rPr>
        <w:t xml:space="preserve">, </w:t>
      </w:r>
      <w:r>
        <w:rPr>
          <w:b w:val="0"/>
          <w:i/>
        </w:rPr>
        <w:t>SARAF</w:t>
      </w:r>
      <w:r>
        <w:rPr>
          <w:b w:val="0"/>
          <w:i w:val="0"/>
        </w:rPr>
        <w:t xml:space="preserve"> and </w:t>
      </w:r>
      <w:r>
        <w:rPr>
          <w:b w:val="0"/>
          <w:i/>
        </w:rPr>
        <w:t>CBARP</w:t>
      </w:r>
      <w:r>
        <w:rPr>
          <w:b w:val="0"/>
          <w:i w:val="0"/>
        </w:rPr>
        <w:t xml:space="preserve"> and before fitting the </w:t>
      </w:r>
      <w:r>
        <w:rPr>
          <w:b w:val="0"/>
          <w:i/>
        </w:rPr>
        <w:t>TRPC1</w:t>
      </w:r>
      <w:r>
        <w:rPr>
          <w:b w:val="0"/>
          <w:i w:val="0"/>
        </w:rPr>
        <w:t xml:space="preserve"> marker-adjustment models. Correction families comprise regions within each group, gene and model.</w:t>
      </w:r>
    </w:p>
    <w:p>
      <w:r>
        <w:br w:type="page"/>
      </w:r>
    </w:p>
    <w:p>
      <w:pPr>
        <w:pStyle w:val="Heading1"/>
      </w:pPr>
      <w:r>
        <w:t>Supplementary results</w:t>
      </w:r>
    </w:p>
    <w:p>
      <w:r>
        <w:rPr>
          <w:i w:val="0"/>
        </w:rPr>
        <w:t>Supplementary analyses provide the methods and descriptive results underlying the main-text summaries.</w:t>
      </w:r>
    </w:p>
    <w:p>
      <w:pPr>
        <w:pStyle w:val="Heading1"/>
      </w:pPr>
      <w:r>
        <w:t>Supplementary Results 1. Aberrant splicing outlier detection (FRASER)</w:t>
      </w:r>
    </w:p>
    <w:p>
      <w:r>
        <w:rPr>
          <w:i w:val="0"/>
        </w:rPr>
        <w:t>FRASER v1.14.1 was run on the nine-sample SH-SY5Y doxycycline series (0, 25 and 75 ng/mL), counting split and non-split reads from the alignments and modelling ψ5, ψ3 and splicing efficiency θ (Methods 2.6).</w:t>
      </w:r>
    </w:p>
    <w:p>
      <w:r>
        <w:rPr>
          <w:i w:val="0"/>
        </w:rPr>
        <w:t>The run returned no genome-wide significant outlier and no difference in per-sample outlier burden between depleted and control libraries: 4.8 versus 2.3 events at p &lt; 10⁻⁵, p = 0.35. An outlier method models rare, sample-specific deviations from a cohort norm. The small cohort and the fact that two thirds of its samples are depleted limit interpretation; sensitivity to the perturbation was not established. We therefore report the result as a limit of that approach at this cohort size rather than as evidence against aberrant splicing.</w:t>
      </w:r>
    </w:p>
    <w:p>
      <w:pPr>
        <w:pStyle w:val="Heading1"/>
      </w:pPr>
      <w:r>
        <w:t>Supplementary Results 2. Nonsense-mediated decay interaction</w:t>
      </w:r>
    </w:p>
    <w:p>
      <w:r>
        <w:rPr>
          <w:i w:val="0"/>
        </w:rPr>
        <w:t xml:space="preserve">Gene-level counts were taken from GSE307054 (i3Neurons;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 and normalised with the authors’ size factors. Because sequencing batch is confounded with TDP-43 status in that design, the interaction was formed as a difference of within-batch differences:</w:t>
      </w:r>
    </w:p>
    <w:p>
      <w:r>
        <w:rPr>
          <w:i w:val="0"/>
        </w:rPr>
        <w:t>interaction(c) = [log2(TDP-43 knockdown + NMD inhibition c) − log2(TDP-43 knockdown)] − [log2(control + NMD inhibition c) − log2(control)]</w:t>
      </w:r>
    </w:p>
    <w:p>
      <w:r>
        <w:rPr>
          <w:i w:val="0"/>
        </w:rPr>
        <w:t>for each of four NMD-inhibition conditions c, after averaging the two replicates within each condition on the log2(normalised count + 1) scale. Genes were retained if mean normalised counts were at least 10 across the TDP-43-plus-NMD-inhibition samples and at least 5 in the TDP-43-only samples (19,145 genes). A positive interaction is compatible with preferential stabilisation after TDP-43 loss, but does not identify a particular transcript or establish NMD-mediated degradation.</w:t>
      </w:r>
    </w:p>
    <w:p>
      <w:r>
        <w:rPr>
          <w:i w:val="0"/>
        </w:rPr>
        <w:t>The four interventions reuse the same control and TDP-43-knockdown baseline libraries. Averaging replicates does not remove the resulting covariance, and variation across the four contrasts does not include uncertainty in the shared baseline difference. We therefore report the mean, range and number of positive condition-level interactions descriptively, without t tests, sign tests, panel-enrichment tests or FDR claims. The full gene-level descriptive table is supplied as source_data/nmd_descriptive_all_genes.csv.gz.</w:t>
      </w:r>
    </w:p>
    <w:p>
      <w:r>
        <w:rPr>
          <w:i/>
        </w:rPr>
        <w:t>CBARP</w:t>
      </w:r>
      <w:r>
        <w:rPr>
          <w:i w:val="0"/>
        </w:rPr>
        <w:t xml:space="preserve"> had the largest mean interaction among the genes in Supplementary Table S10 (+1.52 log₂), with all four conditions positive (range +1.19 to +2.23). This pattern may motivate transcript-specific follow-up, but the shared controls, batch structure and gene-level measurement prevent it from establishing </w:t>
      </w:r>
      <w:r>
        <w:rPr>
          <w:i/>
        </w:rPr>
        <w:t>CBARP</w:t>
      </w:r>
      <w:r>
        <w:rPr>
          <w:i w:val="0"/>
        </w:rPr>
        <w:t xml:space="preserve"> as an NMD target.</w:t>
      </w:r>
      <w:r>
        <w:rPr/>
        <w:t xml:space="preserve"/>
      </w:r>
      <w:r>
        <w:rPr>
          <w:i/>
        </w:rPr>
        <w:t/>
      </w:r>
      <w:r>
        <w:rPr/>
        <w:t xml:space="preserve"/>
      </w:r>
      <w:r>
        <w:rPr>
          <w:i/>
        </w:rPr>
        <w:t/>
      </w:r>
      <w:r>
        <w:rPr/>
        <w:t xml:space="preserve"/>
      </w:r>
    </w:p>
    <w:p>
      <w:r>
        <w:rPr>
          <w:i/>
        </w:rPr>
        <w:t>STIM1</w:t>
      </w:r>
      <w:r>
        <w:rPr>
          <w:i w:val="0"/>
        </w:rPr>
        <w:t xml:space="preserve"> had a mean interaction of −0.325 log₂, with one of four conditions positive (range −0.850 to +0.333). The separate SH-SY5Y isoform analysis identified no confirmed PTC-associated switch; it cannot explain or exclude a response in this i3Neuron experiment. The four calcium-panel medians and the 16 cryptic-splicing reference genes are summarised descriptively in Supplementary Table S10b. These reference genes were selected for cryptic splicing, not validated NMD rescue in this experiment. Their median interaction of −0.11 log₂ therefore does not demonstrate failure of assay sensitivity. Gene-level counts may also obscure an isoform-specific NMD response, so an absent gene-level interaction is not evidence that a SOCE transcript escapes NMD.</w:t>
      </w:r>
      <w:r>
        <w:rPr>
          <w:i/>
        </w:rPr>
        <w:t/>
      </w:r>
      <w:r>
        <w:rPr/>
        <w:t xml:space="preserve"/>
      </w:r>
      <w:r>
        <w:rPr>
          <w:i/>
        </w:rPr>
        <w:t/>
      </w:r>
      <w:r>
        <w:rPr/>
        <w:t/>
      </w:r>
    </w:p>
    <w:p>
      <w:pPr>
        <w:pStyle w:val="Heading1"/>
      </w:pPr>
      <w:r>
        <w:t>Supplementary Results 3. Polyadenylation screen in the two mouse lines</w:t>
      </w:r>
    </w:p>
    <w:p>
      <w:r>
        <w:rPr>
          <w:i w:val="0"/>
        </w:rPr>
        <w:t xml:space="preserve">The coverage-based polyadenylation screen of Methods 2.7 gave 74 qualifying units in C2C12 and 131 in NSC34. Neither line has a positive control for this assay, because the </w:t>
      </w:r>
      <w:r>
        <w:rPr>
          <w:i/>
        </w:rPr>
        <w:t>STMN2</w:t>
      </w:r>
      <w:r>
        <w:rPr>
          <w:i w:val="0"/>
        </w:rPr>
        <w:t xml:space="preserve"> cryptic polyadenylation site is absent from the mouse gene (Melamed et al., 2019), so the </w:t>
      </w:r>
      <w:r>
        <w:rPr>
          <w:i/>
        </w:rPr>
        <w:t>Stmn2</w:t>
      </w:r>
      <w:r>
        <w:rPr>
          <w:i w:val="0"/>
        </w:rPr>
        <w:t xml:space="preserve"> units cannot serve as one.</w:t>
      </w:r>
    </w:p>
    <w:p>
      <w:r>
        <w:rPr>
          <w:i w:val="0"/>
        </w:rPr>
        <w:t xml:space="preserve">No SOCE-machinery unit exceeded |Δ| = 0.30 in either mouse line. The largest estimates, </w:t>
      </w:r>
      <w:r>
        <w:rPr>
          <w:i/>
        </w:rPr>
        <w:t>Atp2a2</w:t>
      </w:r>
      <w:r>
        <w:rPr>
          <w:i w:val="0"/>
        </w:rPr>
        <w:t xml:space="preserve"> intron 6 (+0.285) and </w:t>
      </w:r>
      <w:r>
        <w:rPr>
          <w:i/>
        </w:rPr>
        <w:t>Trpc1</w:t>
      </w:r>
      <w:r>
        <w:rPr>
          <w:i w:val="0"/>
        </w:rPr>
        <w:t xml:space="preserve"> intron 7 (+0.260) in C2C12, had intervals including zero and were not reproduced in NSC34. Units labelled intron 5 had positive gradients at the human </w:t>
      </w:r>
      <w:r>
        <w:rPr>
          <w:i/>
        </w:rPr>
        <w:t>SARAF</w:t>
      </w:r>
      <w:r>
        <w:rPr>
          <w:i w:val="0"/>
        </w:rPr>
        <w:t xml:space="preserve"> locus in iPSC-derived motor neurons (+0.097) and the mouse </w:t>
      </w:r>
      <w:r>
        <w:rPr>
          <w:i/>
        </w:rPr>
        <w:t>Saraf</w:t>
      </w:r>
      <w:r>
        <w:rPr>
          <w:i w:val="0"/>
        </w:rPr>
        <w:t xml:space="preserve"> locus in NSC34 (+0.204); the human SH-SY5Y estimate was 0.000 (interval −0.264 to +0.241). Because human and mouse units were matched by ordinal number rather than sequence alignment, these are gene-level candidates, not confirmed recurrence of the same event. The NSC34 interval is wide and a coverage gradient does not localise a poly(A) site (Supplementary Table S11).</w:t>
      </w:r>
      <w:r>
        <w:rPr>
          <w:i/>
        </w:rPr>
        <w:t/>
      </w:r>
      <w:r>
        <w:rPr/>
        <w:t xml:space="preserve"/>
      </w:r>
      <w:r>
        <w:rPr>
          <w:i/>
        </w:rPr>
        <w:t/>
      </w:r>
      <w:r>
        <w:rPr/>
        <w:t xml:space="preserve"/>
      </w:r>
      <w:r>
        <w:rPr>
          <w:i/>
        </w:rPr>
        <w:t/>
      </w:r>
      <w:r>
        <w:rPr/>
        <w:t xml:space="preserve"/>
      </w:r>
      <w:r>
        <w:rPr>
          <w:i/>
        </w:rPr>
        <w:t/>
      </w:r>
      <w:r>
        <w:rPr/>
        <w:t xml:space="preserve"/>
      </w:r>
    </w:p>
    <w:p>
      <w:pPr>
        <w:pStyle w:val="Heading1"/>
      </w:pPr>
      <w:r>
        <w:t>Supplementary Results 4. Multiple sclerosis in detail</w:t>
      </w:r>
    </w:p>
    <w:p>
      <w:r>
        <w:rPr>
          <w:i/>
        </w:rPr>
        <w:t>TRPC1</w:t>
      </w:r>
      <w:r>
        <w:rPr>
          <w:i w:val="0"/>
        </w:rPr>
        <w:t xml:space="preserve"> was decreased in multiple sclerosis at donor level across all sampled lesion types (δ = −0.840; q = 0.038) and in lesions at sample level (δ = −0.594; q = 1.3 × 10⁻⁴). In the second cohort (GSE123496) the direction was the same but the study included five donors per group (five regions pooled, δ = −0.226; q = 0.49).</w:t>
      </w:r>
    </w:p>
    <w:p>
      <w:r>
        <w:rPr>
          <w:i w:val="0"/>
        </w:rPr>
        <w:t xml:space="preserve">Because </w:t>
      </w:r>
      <w:r>
        <w:rPr>
          <w:i/>
        </w:rPr>
        <w:t>TRPC1</w:t>
      </w:r>
      <w:r>
        <w:rPr>
          <w:i w:val="0"/>
        </w:rPr>
        <w:t xml:space="preserve"> contributes to SOCE in oligodendrocyte precursor cells (Paez et al., 2011), we asked whether the decrease simply reflected demyelination and loss of oligodendrocyte-lineage cells. In normal-appearing white matter, where the myelin markers </w:t>
      </w:r>
      <w:r>
        <w:rPr>
          <w:i/>
        </w:rPr>
        <w:t>MBP</w:t>
      </w:r>
      <w:r>
        <w:rPr>
          <w:i w:val="0"/>
        </w:rPr>
        <w:t xml:space="preserve"> (δ = +0.051), </w:t>
      </w:r>
      <w:r>
        <w:rPr>
          <w:i/>
        </w:rPr>
        <w:t>PLP1</w:t>
      </w:r>
      <w:r>
        <w:rPr>
          <w:i w:val="0"/>
        </w:rPr>
        <w:t xml:space="preserve"> (−0.074), </w:t>
      </w:r>
      <w:r>
        <w:rPr>
          <w:i/>
        </w:rPr>
        <w:t>MOG</w:t>
      </w:r>
      <w:r>
        <w:rPr>
          <w:i w:val="0"/>
        </w:rPr>
        <w:t xml:space="preserve"> (−0.257) and </w:t>
      </w:r>
      <w:r>
        <w:rPr>
          <w:i/>
        </w:rPr>
        <w:t>MAG</w:t>
      </w:r>
      <w:r>
        <w:rPr>
          <w:i w:val="0"/>
        </w:rPr>
        <w:t xml:space="preserve"> (−0.299) showed no statistically significant differences, </w:t>
      </w:r>
      <w:r>
        <w:rPr>
          <w:i/>
        </w:rPr>
        <w:t>TRPC1</w:t>
      </w:r>
      <w:r>
        <w:rPr>
          <w:i w:val="0"/>
        </w:rPr>
        <w:t xml:space="preserve"> was lower at sample level (δ = −0.482, p = 0.005), although not after Benjamini–Hochberg correction (q = 0.10), and lower again with the donor as the unit of inference (seven of ten multiple sclerosis donors with normal-appearing white matter samples versus five control donors, δ = −0.771, uncorrected p = 0.030).</w:t>
      </w:r>
    </w:p>
    <w:p>
      <w:r>
        <w:rPr>
          <w:i w:val="0"/>
        </w:rPr>
        <w:t xml:space="preserve">In the full GSE138614 comparison,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attenuated the difference at both levels: from δ = −0.562 to Cliff’s δ of −0.418 on the residuals at sample level (p = 0.002), and from δ = −0.840 to −0.640 at donor level, where the adjusted difference did not reach significance (p = 0.055). </w:t>
      </w:r>
      <w:r>
        <w:rPr>
          <w:i/>
        </w:rPr>
        <w:t>TRPC1</w:t>
      </w:r>
      <w:r>
        <w:rPr>
          <w:i w:val="0"/>
        </w:rPr>
        <w:t xml:space="preserve"> was lower in every lesion type, including remyelinating and inactive lesions (donor-level δ = −1.000 for both), and multiple sclerosis showed marked astrogliosis (</w:t>
      </w:r>
      <w:r>
        <w:rPr>
          <w:i/>
        </w:rPr>
        <w:t>GFAP</w:t>
      </w:r>
      <w:r>
        <w:rPr>
          <w:i w:val="0"/>
        </w:rPr>
        <w:t xml:space="preserve"> δ = +0.84 to +0.96) with </w:t>
      </w:r>
      <w:r>
        <w:rPr>
          <w:i/>
        </w:rPr>
        <w:t>TRPC1</w:t>
      </w:r>
      <w:r>
        <w:rPr>
          <w:i w:val="0"/>
        </w:rPr>
        <w:t xml:space="preserve"> still falling. All values are in Supplementary Table S16 and the donor-level re-analysis in Supplementary Table S16b.</w:t>
      </w:r>
    </w:p>
    <w:p>
      <w:pPr>
        <w:pStyle w:val="Heading1"/>
        <w:spacing w:before="0" w:after="120"/>
        <w:jc w:val="left"/>
        <w:rPr>
          <w:b w:val="1"/>
        </w:rPr>
      </w:pPr>
      <w:r>
        <w:rPr>
          <w:b w:val="1"/>
        </w:rPr>
        <w:t>Supplementary Figure S1</w:t>
      </w:r>
    </w:p>
    <w:p>
      <w:pPr>
        <w:keepNext/>
        <w:spacing w:after="0"/>
        <w:jc w:val="center"/>
      </w:pPr>
      <w:r>
        <w:drawing>
          <wp:inline xmlns:a="http://schemas.openxmlformats.org/drawingml/2006/main" xmlns:pic="http://schemas.openxmlformats.org/drawingml/2006/picture">
            <wp:extent cx="5897880" cy="4067503"/>
            <wp:docPr id="1" name="Picture 1" title="Supplementary Figure S1" descr="Supplementary Figure S1. Detection power for splicing events. Simulated detection power for a three-versus-three design over observed coverage levels and true ΔPSI values from 0.05 to 0.30. The horizontal line marks 80% power and the vertical line marks |ΔPSI| = 0.10."/>
            <wp:cNvGraphicFramePr>
              <a:graphicFrameLocks noChangeAspect="1"/>
            </wp:cNvGraphicFramePr>
            <a:graphic>
              <a:graphicData uri="http://schemas.openxmlformats.org/drawingml/2006/picture">
                <pic:pic>
                  <pic:nvPicPr>
                    <pic:cNvPr id="0" name="Supplementary_Figure_S1_detection_power.png"/>
                    <pic:cNvPicPr/>
                  </pic:nvPicPr>
                  <pic:blipFill>
                    <a:blip r:embed="rId11"/>
                    <a:stretch>
                      <a:fillRect/>
                    </a:stretch>
                  </pic:blipFill>
                  <pic:spPr>
                    <a:xfrm>
                      <a:off x="0" y="0"/>
                      <a:ext cx="5897880" cy="4067503"/>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S1. </w:t>
      </w:r>
      <w:r>
        <w:rPr>
          <w:rFonts w:ascii="Arial" w:hAnsi="Arial" w:eastAsia="Arial"/>
          <w:i w:val="0"/>
          <w:color w:val="000000"/>
          <w:sz w:val="18"/>
        </w:rPr>
        <w:t>Detection power for splicing events. Simulated detection power for a three-versus-three design over observed coverage levels and true ΔPSI values from 0.05 to 0.30. The horizontal line marks 80% power and the vertical line marks |ΔPSI| = 0.10.</w:t>
      </w:r>
    </w:p>
    <w:p>
      <w:r>
        <w:br w:type="page"/>
      </w:r>
    </w:p>
    <w:p>
      <w:pPr>
        <w:pStyle w:val="Heading1"/>
        <w:spacing w:before="0" w:after="120"/>
        <w:jc w:val="left"/>
        <w:rPr>
          <w:b w:val="1"/>
        </w:rPr>
      </w:pPr>
      <w:r>
        <w:rPr>
          <w:b w:val="1"/>
        </w:rPr>
        <w:t>Supplementary Figure S2</w:t>
      </w:r>
    </w:p>
    <w:p>
      <w:pPr>
        <w:keepNext/>
        <w:spacing w:after="0"/>
        <w:jc w:val="center"/>
      </w:pPr>
      <w:r>
        <w:drawing>
          <wp:inline xmlns:a="http://schemas.openxmlformats.org/drawingml/2006/main" xmlns:pic="http://schemas.openxmlformats.org/drawingml/2006/picture">
            <wp:extent cx="4754880" cy="5893372"/>
            <wp:docPr id="2" name="Picture 2" title="Supplementary Figure S2" descr="Supplementary Figure S2. Replicate-level assessment of a TRPC1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
            <wp:cNvGraphicFramePr>
              <a:graphicFrameLocks noChangeAspect="1"/>
            </wp:cNvGraphicFramePr>
            <a:graphic>
              <a:graphicData uri="http://schemas.openxmlformats.org/drawingml/2006/picture">
                <pic:pic>
                  <pic:nvPicPr>
                    <pic:cNvPr id="0" name="Supplementary_Figure_S2_TRPC1_robustness.png"/>
                    <pic:cNvPicPr/>
                  </pic:nvPicPr>
                  <pic:blipFill>
                    <a:blip r:embed="rId12"/>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S2. </w:t>
      </w:r>
      <w:r>
        <w:rPr>
          <w:rFonts w:ascii="Arial" w:hAnsi="Arial" w:eastAsia="Arial"/>
          <w:i w:val="0"/>
          <w:color w:val="000000"/>
          <w:sz w:val="18"/>
        </w:rPr>
        <w:t xml:space="preserve">Replicate-level assessment of a </w:t>
      </w:r>
      <w:r>
        <w:rPr>
          <w:rFonts w:ascii="Arial" w:hAnsi="Arial" w:eastAsia="Arial"/>
          <w:i/>
          <w:color w:val="000000"/>
          <w:sz w:val="18"/>
        </w:rPr>
        <w:t>TRPC1</w:t>
      </w:r>
      <w:r>
        <w:rPr>
          <w:rFonts w:ascii="Arial" w:hAnsi="Arial" w:eastAsia="Arial"/>
          <w:i w:val="0"/>
          <w:color w:val="000000"/>
          <w:sz w:val="18"/>
        </w:rPr>
        <w:t xml:space="preserve">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w:t>
      </w:r>
    </w:p>
    <w:p>
      <w:r>
        <w:br w:type="page"/>
      </w:r>
    </w:p>
    <w:p>
      <w:pPr>
        <w:pStyle w:val="Heading1"/>
        <w:spacing w:before="0" w:after="120"/>
        <w:jc w:val="left"/>
        <w:rPr>
          <w:b w:val="1"/>
        </w:rPr>
      </w:pPr>
      <w:r>
        <w:rPr>
          <w:b w:val="1"/>
        </w:rPr>
        <w:t>Supplementary Figure S3</w:t>
      </w:r>
    </w:p>
    <w:p>
      <w:pPr>
        <w:keepNext/>
        <w:spacing w:after="0"/>
        <w:jc w:val="center"/>
      </w:pPr>
      <w:r>
        <w:drawing>
          <wp:inline xmlns:a="http://schemas.openxmlformats.org/drawingml/2006/main" xmlns:pic="http://schemas.openxmlformats.org/drawingml/2006/picture">
            <wp:extent cx="5577840" cy="5970645"/>
            <wp:docPr id="3" name="Picture 3" title="Supplementary Figure S3" descr="Supplementary Figure S3. CBARP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CBARP events in five datasets (Supplementary Table S3). The sign refers to each event’s rMATS-defined inclusion form, which differs between events."/>
            <wp:cNvGraphicFramePr>
              <a:graphicFrameLocks noChangeAspect="1"/>
            </wp:cNvGraphicFramePr>
            <a:graphic>
              <a:graphicData uri="http://schemas.openxmlformats.org/drawingml/2006/picture">
                <pic:pic>
                  <pic:nvPicPr>
                    <pic:cNvPr id="0" name="Supplementary_Figure_S3_splicing_replicates.png"/>
                    <pic:cNvPicPr/>
                  </pic:nvPicPr>
                  <pic:blipFill>
                    <a:blip r:embed="rId13"/>
                    <a:stretch>
                      <a:fillRect/>
                    </a:stretch>
                  </pic:blipFill>
                  <pic:spPr>
                    <a:xfrm>
                      <a:off x="0" y="0"/>
                      <a:ext cx="5577840" cy="597064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S3. </w:t>
      </w:r>
      <w:r>
        <w:rPr>
          <w:rFonts w:ascii="Arial" w:hAnsi="Arial" w:eastAsia="Arial"/>
          <w:i/>
          <w:color w:val="000000"/>
          <w:sz w:val="18"/>
        </w:rPr>
        <w:t>CBARP</w:t>
      </w:r>
      <w:r>
        <w:rPr>
          <w:rFonts w:ascii="Arial" w:hAnsi="Arial" w:eastAsia="Arial"/>
          <w:i w:val="0"/>
          <w:color w:val="000000"/>
          <w:sz w:val="18"/>
        </w:rPr>
        <w:t xml:space="preserve">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w:t>
      </w:r>
      <w:r>
        <w:rPr>
          <w:rFonts w:ascii="Arial" w:hAnsi="Arial" w:eastAsia="Arial"/>
          <w:i/>
          <w:color w:val="000000"/>
          <w:sz w:val="18"/>
        </w:rPr>
        <w:t>CBARP</w:t>
      </w:r>
      <w:r>
        <w:rPr>
          <w:rFonts w:ascii="Arial" w:hAnsi="Arial" w:eastAsia="Arial"/>
          <w:i w:val="0"/>
          <w:color w:val="000000"/>
          <w:sz w:val="18"/>
        </w:rPr>
        <w:t xml:space="preserve"> events in five datasets (Supplementary Table S3). The sign refers to each event’s rMATS-defined inclusion form, which differs between events.</w:t>
      </w:r>
    </w:p>
    <w:p>
      <w:r>
        <w:br w:type="page"/>
      </w:r>
    </w:p>
    <w:p>
      <w:pPr>
        <w:pStyle w:val="Heading1"/>
        <w:spacing w:before="0" w:after="120"/>
        <w:jc w:val="left"/>
        <w:rPr>
          <w:b w:val="1"/>
        </w:rPr>
      </w:pPr>
      <w:r>
        <w:rPr>
          <w:b w:val="1"/>
        </w:rPr>
        <w:t>Supplementary Figure S4</w:t>
      </w:r>
    </w:p>
    <w:p>
      <w:pPr>
        <w:keepNext/>
        <w:spacing w:after="0"/>
        <w:jc w:val="center"/>
      </w:pPr>
      <w:r>
        <w:drawing>
          <wp:inline xmlns:a="http://schemas.openxmlformats.org/drawingml/2006/main" xmlns:pic="http://schemas.openxmlformats.org/drawingml/2006/picture">
            <wp:extent cx="4754880" cy="5893372"/>
            <wp:docPr id="4" name="Picture 4" title="Supplementary Figure S4" descr="Supplementary Figure S4. 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
            <wp:cNvGraphicFramePr>
              <a:graphicFrameLocks noChangeAspect="1"/>
            </wp:cNvGraphicFramePr>
            <a:graphic>
              <a:graphicData uri="http://schemas.openxmlformats.org/drawingml/2006/picture">
                <pic:pic>
                  <pic:nvPicPr>
                    <pic:cNvPr id="0" name="Supplementary_Figure_S4_cryptic_controls.png"/>
                    <pic:cNvPicPr/>
                  </pic:nvPicPr>
                  <pic:blipFill>
                    <a:blip r:embed="rId14"/>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S4. </w:t>
      </w:r>
      <w:r>
        <w:rPr>
          <w:rFonts w:ascii="Arial" w:hAnsi="Arial" w:eastAsia="Arial"/>
          <w:i w:val="0"/>
          <w:color w:val="000000"/>
          <w:sz w:val="18"/>
        </w:rPr>
        <w:t>Positive controls and specificity of the annotation-free junction screen. (A) Literature cryptic-splicing positive controls recovered de novo in SH-SY5Y, with knockdown/control junction-read counts. (B) Genes with a high-confidence unannotated splicing change in each of four cumulative Ca²⁺ panels; the numbers below the tiers are panel sizes, and tiers are not independent sets. (C) Number of literature positive-control genes recovered under the permissive definition in human comparisons, including the FUS and TAF15 knockdown controls. Mouse comparisons are omitted because the literature control events are human cryptic events.</w:t>
      </w:r>
    </w:p>
    <w:p>
      <w:r>
        <w:br w:type="page"/>
      </w:r>
    </w:p>
    <w:p>
      <w:pPr>
        <w:pStyle w:val="Heading1"/>
        <w:spacing w:before="0" w:after="120"/>
        <w:jc w:val="left"/>
        <w:rPr>
          <w:b w:val="1"/>
        </w:rPr>
      </w:pPr>
      <w:r>
        <w:rPr>
          <w:b w:val="1"/>
        </w:rPr>
        <w:t>Supplementary Figure S5</w:t>
      </w:r>
    </w:p>
    <w:p>
      <w:pPr>
        <w:keepNext/>
        <w:spacing w:after="0"/>
        <w:jc w:val="center"/>
      </w:pPr>
      <w:r>
        <w:drawing>
          <wp:inline xmlns:a="http://schemas.openxmlformats.org/drawingml/2006/main" xmlns:pic="http://schemas.openxmlformats.org/drawingml/2006/picture">
            <wp:extent cx="5897880" cy="3322749"/>
            <wp:docPr id="5" name="Picture 5" title="Supplementary Figure S5" descr="Supplementary Figure S5. Exploratory NMD interaction. Condition-level TDP-43-specific interaction estimates for genes with a cryptic junction and the remaining genes, with CBARP marked. The four NMD-inhibition conditions are the units of inference; the TDP-43 factor is confounded with sequencing batch."/>
            <wp:cNvGraphicFramePr>
              <a:graphicFrameLocks noChangeAspect="1"/>
            </wp:cNvGraphicFramePr>
            <a:graphic>
              <a:graphicData uri="http://schemas.openxmlformats.org/drawingml/2006/picture">
                <pic:pic>
                  <pic:nvPicPr>
                    <pic:cNvPr id="0" name="Supplementary_Figure_S5_NMD_interaction.png"/>
                    <pic:cNvPicPr/>
                  </pic:nvPicPr>
                  <pic:blipFill>
                    <a:blip r:embed="rId15"/>
                    <a:stretch>
                      <a:fillRect/>
                    </a:stretch>
                  </pic:blipFill>
                  <pic:spPr>
                    <a:xfrm>
                      <a:off x="0" y="0"/>
                      <a:ext cx="5897880" cy="3322749"/>
                    </a:xfrm>
                    <a:prstGeom prst="rect"/>
                  </pic:spPr>
                </pic:pic>
              </a:graphicData>
            </a:graphic>
          </wp:inline>
        </w:drawing>
      </w:r>
    </w:p>
    <w:p>
      <w:pPr>
        <w:pStyle w:val="FigureCaption"/>
        <w:jc w:val="both"/>
      </w:pPr>
      <w:r>
        <w:rPr>
          <w:rFonts w:ascii="Arial" w:hAnsi="Arial" w:eastAsia="Arial"/>
          <w:b/>
          <w:i w:val="0"/>
          <w:color w:val="000000"/>
          <w:sz w:val="18"/>
        </w:rPr>
        <w:t>Supplementary Figure S5.</w:t>
      </w:r>
      <w:r>
        <w:rPr>
          <w:rFonts w:ascii="Arial" w:hAnsi="Arial" w:eastAsia="Arial"/>
          <w:b w:val="0"/>
          <w:i w:val="0"/>
          <w:color w:val="000000"/>
          <w:sz w:val="18"/>
        </w:rPr>
        <w:t xml:space="preserve"> Descriptive TDP-43 × NMD-inhibition interactions for genes with a cryptic junction and other genes, with </w:t>
      </w:r>
      <w:r>
        <w:rPr>
          <w:rFonts w:ascii="Arial" w:hAnsi="Arial" w:eastAsia="Arial"/>
          <w:b w:val="0"/>
          <w:i/>
          <w:color w:val="000000"/>
          <w:sz w:val="18"/>
        </w:rPr>
        <w:t>CBARP</w:t>
      </w:r>
      <w:r>
        <w:rPr>
          <w:rFonts w:ascii="Arial" w:hAnsi="Arial" w:eastAsia="Arial"/>
          <w:b w:val="0"/>
          <w:i w:val="0"/>
          <w:color w:val="000000"/>
          <w:sz w:val="18"/>
        </w:rPr>
        <w:t xml:space="preserve"> marked. Each gene’s value is the mean of four contrasts sharing the same baseline libraries. No inferential significance is assigned; TDP-43 status is confounded with sequencing batch.</w:t>
      </w:r>
      <w:r>
        <w:rPr>
          <w:rFonts w:ascii="Arial" w:hAnsi="Arial" w:eastAsia="Arial"/>
          <w:b w:val="0"/>
          <w:color w:val="000000"/>
          <w:sz w:val="18"/>
        </w:rPr>
        <w:t/>
      </w:r>
    </w:p>
    <w:p>
      <w:r>
        <w:br w:type="page"/>
      </w:r>
    </w:p>
    <w:p>
      <w:pPr>
        <w:pStyle w:val="Heading1"/>
        <w:spacing w:before="0" w:after="120"/>
        <w:jc w:val="left"/>
        <w:rPr>
          <w:b w:val="1"/>
        </w:rPr>
      </w:pPr>
      <w:r>
        <w:rPr>
          <w:b w:val="1"/>
        </w:rPr>
        <w:t>Supplementary Figure S6</w:t>
      </w:r>
    </w:p>
    <w:p>
      <w:pPr>
        <w:keepNext/>
        <w:spacing w:after="0"/>
        <w:jc w:val="center"/>
      </w:pPr>
      <w:r>
        <w:drawing>
          <wp:inline xmlns:a="http://schemas.openxmlformats.org/drawingml/2006/main" xmlns:pic="http://schemas.openxmlformats.org/drawingml/2006/picture">
            <wp:extent cx="4617720" cy="5853448"/>
            <wp:docPr id="6" name="Picture 6" title="Supplementary Figure S6" descr="Supplementary Figure S6. Coverage-based alternative-polyadenylation screen and STMN2 control. (A) Depth-qualified SH-SY5Y intronic and distal 3′UTR index changes with bootstrap 95% intervals. The STIM2 intron 13 unit (†) contains the alternatively spliced STIM2 exon and is not independent evidence for a polyadenylation event. (B) Coverage at both ends of STMN2 intron 2 in each replicate after reference skips are excluded; the open marker is a measured zero at the 3′ end in one knockdown replicate. The indices measure coverage gradients, not poly(A) sites."/>
            <wp:cNvGraphicFramePr>
              <a:graphicFrameLocks noChangeAspect="1"/>
            </wp:cNvGraphicFramePr>
            <a:graphic>
              <a:graphicData uri="http://schemas.openxmlformats.org/drawingml/2006/picture">
                <pic:pic>
                  <pic:nvPicPr>
                    <pic:cNvPr id="0" name="Supplementary_Figure_S6_APA_coverage.png"/>
                    <pic:cNvPicPr/>
                  </pic:nvPicPr>
                  <pic:blipFill>
                    <a:blip r:embed="rId16"/>
                    <a:stretch>
                      <a:fillRect/>
                    </a:stretch>
                  </pic:blipFill>
                  <pic:spPr>
                    <a:xfrm>
                      <a:off x="0" y="0"/>
                      <a:ext cx="4617720" cy="5853448"/>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S6. </w:t>
      </w:r>
      <w:r>
        <w:rPr>
          <w:rFonts w:ascii="Arial" w:hAnsi="Arial" w:eastAsia="Arial"/>
          <w:i w:val="0"/>
          <w:color w:val="000000"/>
          <w:sz w:val="18"/>
        </w:rPr>
        <w:t xml:space="preserve">Coverage-based alternative-polyadenylation screen and </w:t>
      </w:r>
      <w:r>
        <w:rPr>
          <w:rFonts w:ascii="Arial" w:hAnsi="Arial" w:eastAsia="Arial"/>
          <w:i/>
          <w:color w:val="000000"/>
          <w:sz w:val="18"/>
        </w:rPr>
        <w:t>STMN2</w:t>
      </w:r>
      <w:r>
        <w:rPr>
          <w:rFonts w:ascii="Arial" w:hAnsi="Arial" w:eastAsia="Arial"/>
          <w:i w:val="0"/>
          <w:color w:val="000000"/>
          <w:sz w:val="18"/>
        </w:rPr>
        <w:t xml:space="preserve"> control. (A) Depth-qualified SH-SY5Y intronic and distal 3′UTR index changes with bootstrap 95% intervals. The </w:t>
      </w:r>
      <w:r>
        <w:rPr>
          <w:rFonts w:ascii="Arial" w:hAnsi="Arial" w:eastAsia="Arial"/>
          <w:i/>
          <w:color w:val="000000"/>
          <w:sz w:val="18"/>
        </w:rPr>
        <w:t>STIM2</w:t>
      </w:r>
      <w:r>
        <w:rPr>
          <w:rFonts w:ascii="Arial" w:hAnsi="Arial" w:eastAsia="Arial"/>
          <w:i w:val="0"/>
          <w:color w:val="000000"/>
          <w:sz w:val="18"/>
        </w:rPr>
        <w:t xml:space="preserve"> intron 13 unit (†) contains the alternatively spliced </w:t>
      </w:r>
      <w:r>
        <w:rPr>
          <w:rFonts w:ascii="Arial" w:hAnsi="Arial" w:eastAsia="Arial"/>
          <w:i/>
          <w:color w:val="000000"/>
          <w:sz w:val="18"/>
        </w:rPr>
        <w:t>STIM2</w:t>
      </w:r>
      <w:r>
        <w:rPr>
          <w:rFonts w:ascii="Arial" w:hAnsi="Arial" w:eastAsia="Arial"/>
          <w:i w:val="0"/>
          <w:color w:val="000000"/>
          <w:sz w:val="18"/>
        </w:rPr>
        <w:t xml:space="preserve"> exon and is not independent evidence for a polyadenylation event. (B) Coverage at both ends of </w:t>
      </w:r>
      <w:r>
        <w:rPr>
          <w:rFonts w:ascii="Arial" w:hAnsi="Arial" w:eastAsia="Arial"/>
          <w:i/>
          <w:color w:val="000000"/>
          <w:sz w:val="18"/>
        </w:rPr>
        <w:t>STMN2</w:t>
      </w:r>
      <w:r>
        <w:rPr>
          <w:rFonts w:ascii="Arial" w:hAnsi="Arial" w:eastAsia="Arial"/>
          <w:i w:val="0"/>
          <w:color w:val="000000"/>
          <w:sz w:val="18"/>
        </w:rPr>
        <w:t xml:space="preserve"> intron 2 in each replicate after reference skips are excluded; the open marker is a measured zero at the 3′ end in one knockdown replicate. The indices measure coverage gradients, not poly(A) sites.</w:t>
      </w:r>
    </w:p>
    <w:p>
      <w:r>
        <w:br w:type="page"/>
      </w:r>
    </w:p>
    <w:p>
      <w:pPr>
        <w:pStyle w:val="Heading1"/>
        <w:spacing w:before="0" w:after="120"/>
        <w:jc w:val="left"/>
        <w:rPr>
          <w:b w:val="1"/>
        </w:rPr>
      </w:pPr>
      <w:r>
        <w:rPr>
          <w:b w:val="1"/>
        </w:rPr>
        <w:t>Supplementary Figure S7</w:t>
      </w:r>
    </w:p>
    <w:p>
      <w:pPr>
        <w:keepNext/>
        <w:spacing w:after="0"/>
        <w:jc w:val="center"/>
      </w:pPr>
      <w:r>
        <w:drawing>
          <wp:inline xmlns:a="http://schemas.openxmlformats.org/drawingml/2006/main" xmlns:pic="http://schemas.openxmlformats.org/drawingml/2006/picture">
            <wp:extent cx="4983480" cy="5615189"/>
            <wp:docPr id="7" name="Picture 7" title="Supplementary Figure S7" descr="Supplementary Figure S7. TRPC1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
            <wp:cNvGraphicFramePr>
              <a:graphicFrameLocks noChangeAspect="1"/>
            </wp:cNvGraphicFramePr>
            <a:graphic>
              <a:graphicData uri="http://schemas.openxmlformats.org/drawingml/2006/picture">
                <pic:pic>
                  <pic:nvPicPr>
                    <pic:cNvPr id="0" name="Supplementary_Figure_S7_cross_disease_TRPC1.png"/>
                    <pic:cNvPicPr/>
                  </pic:nvPicPr>
                  <pic:blipFill>
                    <a:blip r:embed="rId17"/>
                    <a:stretch>
                      <a:fillRect/>
                    </a:stretch>
                  </pic:blipFill>
                  <pic:spPr>
                    <a:xfrm>
                      <a:off x="0" y="0"/>
                      <a:ext cx="4983480" cy="5615189"/>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S7. </w:t>
      </w:r>
      <w:r>
        <w:rPr>
          <w:rFonts w:ascii="Arial" w:hAnsi="Arial" w:eastAsia="Arial"/>
          <w:i/>
          <w:color w:val="000000"/>
          <w:sz w:val="18"/>
        </w:rPr>
        <w:t>TRPC1</w:t>
      </w:r>
      <w:r>
        <w:rPr>
          <w:rFonts w:ascii="Arial" w:hAnsi="Arial" w:eastAsia="Arial"/>
          <w:i w:val="0"/>
          <w:color w:val="000000"/>
          <w:sz w:val="18"/>
        </w:rPr>
        <w:t xml:space="preserve"> expression across neurological comparison cohorts. Cliff’s δ (case minus control) is shown for ALS regions, other neurological disorders, Alzheimer’s disease, Parkinson’s disease and multiple sclerosis. Asterisks mark Benjamini–Hochberg q &lt; 0.05; daggers mark uncorrected p &lt; 0.05 for the donor-level normal-appearing white matter and myelin-adjusted comparisons. Pale bars are not significant. Cohorts and tissue compartments differ, so the display is descriptive across diseases.</w:t>
      </w:r>
    </w:p>
    <w:p>
      <w:r>
        <w:br w:type="page"/>
      </w:r>
    </w:p>
    <w:p>
      <w:pPr>
        <w:pStyle w:val="Heading1"/>
        <w:spacing w:before="0" w:after="120"/>
        <w:jc w:val="left"/>
        <w:rPr>
          <w:b w:val="1"/>
        </w:rPr>
      </w:pPr>
      <w:r>
        <w:rPr>
          <w:b w:val="1"/>
        </w:rPr>
        <w:t>Supplementary Figure S8</w:t>
      </w:r>
    </w:p>
    <w:p>
      <w:pPr>
        <w:keepNext/>
        <w:spacing w:after="0"/>
        <w:jc w:val="center"/>
      </w:pPr>
      <w:r>
        <w:drawing>
          <wp:inline xmlns:a="http://schemas.openxmlformats.org/drawingml/2006/main" xmlns:pic="http://schemas.openxmlformats.org/drawingml/2006/picture">
            <wp:extent cx="4709160" cy="5836705"/>
            <wp:docPr id="8" name="Picture 8" title="Supplementary Figure S8" descr="Supplementary Figure S8. STMN2 expression and cryptic junction inclusion in ALS tissue. (A) Percentage of ALS and non-neurological control samples with a cryptic STMN2 junction, by region, among samples with at least 20 junction reads at the donor; sample counts for each group are printed in the labels. (B, C) Within-ALS Spearman correlations of selected genes with total STMN2 expression and cryptic STMN2 PSI, respectively. Black dots mark q &lt; 0.05 across the stated correction family. The heatmaps use the same colour scale; exact coefficients and q values for all tested genes are in Supplementary Table S9. Total STMN2 expression also tracks neuronal content, whereas cryptic junction PSI more directly reflects TDP-43-dependent RNA processing."/>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8"/>
                    <a:stretch>
                      <a:fillRect/>
                    </a:stretch>
                  </pic:blipFill>
                  <pic:spPr>
                    <a:xfrm>
                      <a:off x="0" y="0"/>
                      <a:ext cx="4709160" cy="583670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S8. </w:t>
      </w:r>
      <w:r>
        <w:rPr>
          <w:rFonts w:ascii="Arial" w:hAnsi="Arial" w:eastAsia="Arial"/>
          <w:i/>
          <w:color w:val="000000"/>
          <w:sz w:val="18"/>
        </w:rPr>
        <w:t>STMN2</w:t>
      </w:r>
      <w:r>
        <w:rPr>
          <w:rFonts w:ascii="Arial" w:hAnsi="Arial" w:eastAsia="Arial"/>
          <w:i w:val="0"/>
          <w:color w:val="000000"/>
          <w:sz w:val="18"/>
        </w:rPr>
        <w:t xml:space="preserve"> expression and cryptic junction inclusion in ALS tissue. (A) Percentage of ALS and non-neurological control samples with a cryptic </w:t>
      </w:r>
      <w:r>
        <w:rPr>
          <w:rFonts w:ascii="Arial" w:hAnsi="Arial" w:eastAsia="Arial"/>
          <w:i/>
          <w:color w:val="000000"/>
          <w:sz w:val="18"/>
        </w:rPr>
        <w:t>STMN2</w:t>
      </w:r>
      <w:r>
        <w:rPr>
          <w:rFonts w:ascii="Arial" w:hAnsi="Arial" w:eastAsia="Arial"/>
          <w:i w:val="0"/>
          <w:color w:val="000000"/>
          <w:sz w:val="18"/>
        </w:rPr>
        <w:t xml:space="preserve"> junction, by region, among samples with at least 20 junction reads at the donor; sample counts for each group are printed in the labels. (B, C) Within-ALS Spearman correlations of selected genes with total </w:t>
      </w:r>
      <w:r>
        <w:rPr>
          <w:rFonts w:ascii="Arial" w:hAnsi="Arial" w:eastAsia="Arial"/>
          <w:i/>
          <w:color w:val="000000"/>
          <w:sz w:val="18"/>
        </w:rPr>
        <w:t>STMN2</w:t>
      </w:r>
      <w:r>
        <w:rPr>
          <w:rFonts w:ascii="Arial" w:hAnsi="Arial" w:eastAsia="Arial"/>
          <w:i w:val="0"/>
          <w:color w:val="000000"/>
          <w:sz w:val="18"/>
        </w:rPr>
        <w:t xml:space="preserve"> expression and cryptic </w:t>
      </w:r>
      <w:r>
        <w:rPr>
          <w:rFonts w:ascii="Arial" w:hAnsi="Arial" w:eastAsia="Arial"/>
          <w:i/>
          <w:color w:val="000000"/>
          <w:sz w:val="18"/>
        </w:rPr>
        <w:t>STMN2</w:t>
      </w:r>
      <w:r>
        <w:rPr>
          <w:rFonts w:ascii="Arial" w:hAnsi="Arial" w:eastAsia="Arial"/>
          <w:i w:val="0"/>
          <w:color w:val="000000"/>
          <w:sz w:val="18"/>
        </w:rPr>
        <w:t xml:space="preserve"> PSI, respectively. Black dots mark q &lt; 0.05 across the stated correction family. The heatmaps use the same colour scale; exact coefficients and q values for all tested genes are in Supplementary Table S9. Total </w:t>
      </w:r>
      <w:r>
        <w:rPr>
          <w:rFonts w:ascii="Arial" w:hAnsi="Arial" w:eastAsia="Arial"/>
          <w:i/>
          <w:color w:val="000000"/>
          <w:sz w:val="18"/>
        </w:rPr>
        <w:t>STMN2</w:t>
      </w:r>
      <w:r>
        <w:rPr>
          <w:rFonts w:ascii="Arial" w:hAnsi="Arial" w:eastAsia="Arial"/>
          <w:i w:val="0"/>
          <w:color w:val="000000"/>
          <w:sz w:val="18"/>
        </w:rPr>
        <w:t xml:space="preserve"> expression also tracks neuronal content, whereas cryptic junction PSI more directly reflects TDP-43-dependent RNA processing.</w:t>
      </w:r>
    </w:p>
    <w:sectPr w:rsidR="00FC693F" w:rsidRPr="0006063C" w:rsidSect="00034616">
      <w:headerReference w:type="default" r:id="rId9"/>
      <w:footerReference w:type="default" r:id="rId10"/>
      <w:pgSz w:w="11905" w:h="16838"/>
      <w:pgMar w:top="1037" w:right="1123" w:bottom="979" w:left="1123"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4D4D4D"/>
        <w:sz w:val="16"/>
      </w:rPr>
      <w:t>SUPPLEMENTARY MATERIAL  |  YILMAZ AND ERAÇ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00"/>
      <w:jc w:val="both"/>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val="1"/>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val="1"/>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val="1"/>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val="1"/>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both"/>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259" w:lineRule="auto" w:before="140" w:after="0"/>
      <w:jc w:val="both"/>
    </w:pPr>
    <w:rPr>
      <w:rFonts w:ascii="Arial" w:hAnsi="Arial" w:eastAsia="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TDP-43 knockdown is associated with reduced store-operated Ca²⁺ entry and altered calcium-regulatory RNA profiles in SH-SY5Y cells</dc:subject>
  <dc:creator>Elmasnur Yılmaz; Yasemin Eraç</dc:creator>
  <cp:keywords>TDP-43; SOCE; calcium; supplementary material</cp:keywords>
  <dc:description/>
  <cp:lastModifiedBy/>
  <cp:revision>1</cp:revision>
  <dcterms:created xsi:type="dcterms:W3CDTF">2013-12-23T23:15:00Z</dcterms:created>
  <dcterms:modified xsi:type="dcterms:W3CDTF">2013-12-23T23:15:00Z</dcterms:modified>
  <cp:category/>
</cp:coreProperties>
</file>