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44"/>
        </w:rPr>
        <w:t>Supplementary Material</w:t>
      </w:r>
    </w:p>
    <w:p>
      <w:pPr>
        <w:spacing w:before="160" w:after="440"/>
        <w:jc w:val="center"/>
      </w:pPr>
      <w:r>
        <w:rPr>
          <w:rFonts w:ascii="Arial" w:hAnsi="Arial" w:eastAsia="Arial"/>
          <w:b/>
          <w:color w:val="000000"/>
          <w:sz w:val="28"/>
        </w:rPr>
        <w:t>TDP-43 knockdown is associated with reduced store-operated Ca²⁺ entry and altered calcium-regulatory RNA profiles in SH-SY5Y cells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3"/>
        </w:rPr>
        <w:t>Elmasnur Yılmazᵃ, Yasemin Eraçᵃ,*</w:t>
      </w:r>
    </w:p>
    <w:p>
      <w:pPr>
        <w:spacing w:after="120"/>
        <w:jc w:val="center"/>
      </w:pPr>
      <w:r>
        <w:rPr>
          <w:rFonts w:ascii="Arial" w:hAnsi="Arial" w:eastAsia="Arial"/>
          <w:color w:val="000000"/>
          <w:sz w:val="20"/>
        </w:rPr>
        <w:t>ᵃ Department of Pharmacology, Faculty of Pharmacy, Ege University, Erzene Mahallesi, Ankara Caddesi No: 172/98, 35040 Bornova, İzmir, Türkiye</w:t>
      </w:r>
    </w:p>
    <w:p>
      <w:pPr>
        <w:spacing w:after="680"/>
        <w:jc w:val="center"/>
      </w:pPr>
      <w:r>
        <w:rPr>
          <w:rFonts w:ascii="Arial" w:hAnsi="Arial" w:eastAsia="Arial"/>
          <w:color w:val="000000"/>
          <w:sz w:val="20"/>
        </w:rPr>
        <w:t>* Corresponding author: Yasemin Eraç, yasemin.erac@ege.edu.tr</w:t>
      </w:r>
    </w:p>
    <w:p>
      <w:pPr>
        <w:spacing w:after="1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24"/>
        </w:rPr>
        <w:t>Contents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data files</w:t>
      </w:r>
      <w:r>
        <w:rPr>
          <w:rFonts w:ascii="Arial" w:hAnsi="Arial" w:eastAsia="Arial"/>
          <w:color w:val="000000"/>
          <w:sz w:val="20"/>
        </w:rPr>
        <w:tab/>
        <w:t>S1–S17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figures</w:t>
      </w:r>
      <w:r>
        <w:rPr>
          <w:rFonts w:ascii="Arial" w:hAnsi="Arial" w:eastAsia="Arial"/>
          <w:color w:val="000000"/>
          <w:sz w:val="20"/>
        </w:rPr>
        <w:tab/>
        <w:t>S1–S8</w:t>
      </w:r>
    </w:p>
    <w:p>
      <w:r>
        <w:br w:type="page"/>
      </w:r>
    </w:p>
    <w:p>
      <w:pPr>
        <w:pStyle w:val="Heading1"/>
        <w:rPr>
          <w:b w:val="1"/>
        </w:rPr>
        <w:jc w:val="left"/>
      </w:pPr>
      <w:r>
        <w:rPr>
          <w:b w:val="1"/>
        </w:rPr>
        <w:t>Supplementary data files</w:t>
      </w:r>
    </w:p>
    <w:p>
      <w:pPr>
        <w:spacing w:after="200"/>
        <w:jc w:val="both"/>
      </w:pPr>
      <w:r>
        <w:t>The machine-readable files listed below accompany the manuscript and provide the source values, event-level results and cohort-level analyses used in the main text and supplementary figures.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S1. </w:t>
      </w:r>
      <w:r>
        <w:rPr>
          <w:rFonts w:ascii="Arial" w:hAnsi="Arial" w:eastAsia="Arial"/>
          <w:color w:val="000000"/>
          <w:sz w:val="19"/>
        </w:rPr>
        <w:t>Laboratory source data: raw Ct values and per-replicate relative expression, Fura-2 amplitudes, 48-h normalised WST-1 signal values, primer sequences and thermal profile, and the summary statistics behind Figures 1 and 2.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S2. </w:t>
      </w:r>
      <w:r>
        <w:rPr>
          <w:rFonts w:ascii="Arial" w:hAnsi="Arial" w:eastAsia="Arial"/>
          <w:color w:val="000000"/>
          <w:sz w:val="19"/>
        </w:rPr>
        <w:t>Ca²⁺ gene panels (four cumulative sets).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S3. </w:t>
      </w:r>
      <w:r>
        <w:rPr>
          <w:rFonts w:ascii="Arial" w:hAnsi="Arial" w:eastAsia="Arial"/>
          <w:color w:val="000000"/>
          <w:sz w:val="19"/>
        </w:rPr>
        <w:t>rMATS events meeting FDR &lt; 0.05 and |ΔPSI| ≥ 0.10, JC and JCEC, six datasets, with the raw junction counts needed to reproduce the coverage pre-filter.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S4. </w:t>
      </w:r>
      <w:r>
        <w:rPr>
          <w:rFonts w:ascii="Arial" w:hAnsi="Arial" w:eastAsia="Arial"/>
          <w:color w:val="000000"/>
          <w:sz w:val="19"/>
        </w:rPr>
        <w:t>Matched permutation enrichment results, all datasets and panels.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S5. </w:t>
      </w:r>
      <w:r>
        <w:rPr>
          <w:rFonts w:ascii="Arial" w:hAnsi="Arial" w:eastAsia="Arial"/>
          <w:color w:val="000000"/>
          <w:sz w:val="19"/>
        </w:rPr>
        <w:t>High-confidence unannotated splicing changes in every comparison, including the independently produced mapping-quality-filtered SH-SY5Y junction set.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S6. </w:t>
      </w:r>
      <w:r>
        <w:rPr>
          <w:rFonts w:ascii="Arial" w:hAnsi="Arial" w:eastAsia="Arial"/>
          <w:color w:val="000000"/>
          <w:sz w:val="19"/>
        </w:rPr>
        <w:t>Cryptic positive controls, the sixteen literature genes, and the dataset × gene recovery matrix for the human comparisons.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S7. </w:t>
      </w:r>
      <w:r>
        <w:rPr>
          <w:rFonts w:ascii="Arial" w:hAnsi="Arial" w:eastAsia="Arial"/>
          <w:color w:val="000000"/>
          <w:sz w:val="19"/>
        </w:rPr>
        <w:t>SOCE genes in the annotation-free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S8. </w:t>
      </w:r>
      <w:r>
        <w:rPr>
          <w:rFonts w:ascii="Arial" w:hAnsi="Arial" w:eastAsia="Arial"/>
          <w:color w:val="000000"/>
          <w:sz w:val="19"/>
        </w:rPr>
        <w:t>Cryptic STMN2 PSI in ALS versus control by region (NYGC).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S9. </w:t>
      </w:r>
      <w:r>
        <w:rPr>
          <w:rFonts w:ascii="Arial" w:hAnsi="Arial" w:eastAsia="Arial"/>
          <w:color w:val="000000"/>
          <w:sz w:val="19"/>
        </w:rPr>
        <w:t>Correlations of both TDP-43 proxies with target genes within ALS samples; the in_correction_family column marks the 220 informative tests over which the Benjamini–Hochberg correction was applied.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S10. </w:t>
      </w:r>
      <w:r>
        <w:rPr>
          <w:rFonts w:ascii="Arial" w:hAnsi="Arial" w:eastAsia="Arial"/>
          <w:color w:val="000000"/>
          <w:sz w:val="19"/>
        </w:rPr>
        <w:t>Nonsense-mediated decay interaction for the SOCE panel and the panel-level tests, four-condition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S11. </w:t>
      </w:r>
      <w:r>
        <w:rPr>
          <w:rFonts w:ascii="Arial" w:hAnsi="Arial" w:eastAsia="Arial"/>
          <w:color w:val="000000"/>
          <w:sz w:val="19"/>
        </w:rPr>
        <w:t>Depth-qualified intronic polyadenylation and 3′UTR usage estimates in all four comparisons, with the genomic windows of every unit; these are coverage gradients, not direct poly(A)-site calls. The candidate_gradient column marks the units with |Δ| ≥ 0.05 whose interval excludes zero; the remaining rows are the other depth-qualified units of the core genes and of the cryptic positive controls.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S12. </w:t>
      </w:r>
      <w:r>
        <w:rPr>
          <w:rFonts w:ascii="Arial" w:hAnsi="Arial" w:eastAsia="Arial"/>
          <w:color w:val="000000"/>
          <w:sz w:val="19"/>
        </w:rPr>
        <w:t>Machine-readable version of Table 4: cryptic event counts by comparison, with the FUS and TAF15 knockdown controls and the null-test ratios.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S13. </w:t>
      </w:r>
      <w:r>
        <w:rPr>
          <w:rFonts w:ascii="Arial" w:hAnsi="Arial" w:eastAsia="Arial"/>
          <w:color w:val="000000"/>
          <w:sz w:val="19"/>
        </w:rPr>
        <w:t>STIM2 SOAR exon measured at junction level, with both flanking junctions, in every comparison in which it was measurable.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S14. </w:t>
      </w:r>
      <w:r>
        <w:rPr>
          <w:rFonts w:ascii="Arial" w:hAnsi="Arial" w:eastAsia="Arial"/>
          <w:color w:val="000000"/>
          <w:sz w:val="19"/>
        </w:rPr>
        <w:t>Control-versus-control null test of the cryptic calling procedure, under the permissive definition and three stricter thresholds.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S15. </w:t>
      </w:r>
      <w:r>
        <w:rPr>
          <w:rFonts w:ascii="Arial" w:hAnsi="Arial" w:eastAsia="Arial"/>
          <w:color w:val="000000"/>
          <w:sz w:val="19"/>
        </w:rPr>
        <w:t>The same STIM2.1/SOAR exon measured as an rMATS event, with per-replicate PSI and bootstrap intervals, across six datasets, the estimate compared with S13 in Section 3.5.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S16. </w:t>
      </w:r>
      <w:r>
        <w:rPr>
          <w:rFonts w:ascii="Arial" w:hAnsi="Arial" w:eastAsia="Arial"/>
          <w:color w:val="000000"/>
          <w:sz w:val="19"/>
        </w:rPr>
        <w:t>Multiple sclerosis analysis, both cohorts, with myelin adjustment and the donor-level re-analysis.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S17. </w:t>
      </w:r>
      <w:r>
        <w:rPr>
          <w:rFonts w:ascii="Arial" w:hAnsi="Arial" w:eastAsia="Arial"/>
          <w:color w:val="000000"/>
          <w:sz w:val="19"/>
        </w:rPr>
        <w:t>Accession list for every dataset analysed, with design, library type, run-level groups for knockdown experiments and group definitions for patient cohorts.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S1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4067503"/>
            <wp:docPr id="1" name="Picture 1" title="Supplementary Figure S1" descr="Supplementary Figure S1. Detection power for splicing events. Simulated detection power for a three-versus-three design over observed coverage levels and true ΔPSI values from 0.05 to 0.30. The horizontal line marks 80% power and the vertical line marks |ΔPSI| = 0.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detection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67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S1. </w:t>
      </w:r>
      <w:r>
        <w:rPr>
          <w:rFonts w:ascii="Arial" w:hAnsi="Arial" w:eastAsia="Arial"/>
          <w:color w:val="000000"/>
          <w:sz w:val="18"/>
        </w:rPr>
        <w:t>Detection power for splicing events. Simulated detection power for a three-versus-three design over observed coverage levels and true ΔPSI values from 0.05 to 0.30. The horizontal line marks 80% power and the vertical line marks |ΔPSI| = 0.10.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S2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2" name="Picture 2" title="Supplementary Figure S2" descr="Supplementary Figure S2. 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TRPC1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S2. </w:t>
      </w:r>
      <w:r>
        <w:rPr>
          <w:rFonts w:ascii="Arial" w:hAnsi="Arial" w:eastAsia="Arial"/>
          <w:color w:val="000000"/>
          <w:sz w:val="18"/>
        </w:rPr>
        <w:t>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S3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5970645"/>
            <wp:docPr id="3" name="Picture 3" title="Supplementary Figure S3" descr="Supplementary Figure S3. 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splicing_replic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7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S3. </w:t>
      </w:r>
      <w:r>
        <w:rPr>
          <w:rFonts w:ascii="Arial" w:hAnsi="Arial" w:eastAsia="Arial"/>
          <w:color w:val="000000"/>
          <w:sz w:val="18"/>
        </w:rPr>
        <w:t>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S4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4" name="Picture 4" title="Supplementary Figure S4" descr="Supplementary Figure S4. 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ryptic_contr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S4. </w:t>
      </w:r>
      <w:r>
        <w:rPr>
          <w:rFonts w:ascii="Arial" w:hAnsi="Arial" w:eastAsia="Arial"/>
          <w:color w:val="000000"/>
          <w:sz w:val="18"/>
        </w:rPr>
        <w:t>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S5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22749"/>
            <wp:docPr id="5" name="Picture 5" title="Supplementary Figure S5" descr="Supplementary Figure S5. Exploratory NMD interaction. Condition-level TDP-43-specific interaction estimates for genes with a cryptic junction and the remaining genes, with CBARP marked. The four NMD-inhibition conditions are the units of inference; the TDP-43 factor is confounded with sequencing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NMD_intera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S5. </w:t>
      </w:r>
      <w:r>
        <w:rPr>
          <w:rFonts w:ascii="Arial" w:hAnsi="Arial" w:eastAsia="Arial"/>
          <w:color w:val="000000"/>
          <w:sz w:val="18"/>
        </w:rPr>
        <w:t>Exploratory NMD interaction. 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17720" cy="5853448"/>
            <wp:docPr id="6" name="Picture 6" title="Supplementary Figure S6" descr="Supplementary Figure S6. 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APA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85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S6. </w:t>
      </w:r>
      <w:r>
        <w:rPr>
          <w:rFonts w:ascii="Arial" w:hAnsi="Arial" w:eastAsia="Arial"/>
          <w:color w:val="000000"/>
          <w:sz w:val="18"/>
        </w:rPr>
        <w:t>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S7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5615189"/>
            <wp:docPr id="7" name="Picture 7" title="Supplementary Figure S7" descr="Supplementary Figure S7. 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cross_disease_TRP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61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S7. </w:t>
      </w:r>
      <w:r>
        <w:rPr>
          <w:rFonts w:ascii="Arial" w:hAnsi="Arial" w:eastAsia="Arial"/>
          <w:color w:val="000000"/>
          <w:sz w:val="18"/>
        </w:rPr>
        <w:t>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S8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5836705"/>
            <wp:docPr id="8" name="Picture 8" title="Supplementary Figure S8" descr="Supplementary Figure S8. 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STMN2_expression_vs_cryptic_PS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83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S8. </w:t>
      </w:r>
      <w:r>
        <w:rPr>
          <w:rFonts w:ascii="Arial" w:hAnsi="Arial" w:eastAsia="Arial"/>
          <w:color w:val="000000"/>
          <w:sz w:val="18"/>
        </w:rPr>
        <w:t>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37" w:right="1123" w:bottom="979" w:left="1123" w:header="461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6"/>
      </w:rPr>
      <w:t xml:space="preserve">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4D4D4D"/>
        <w:sz w:val="16"/>
      </w:rPr>
      <w:t>SUPPLEMENTARY MATERIAL  |  YILMAZ AND ERAÇ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00"/>
      <w:jc w:val="both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 w:val="1"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 w:val="1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both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line="259" w:lineRule="auto" w:before="140" w:after="0"/>
      <w:jc w:val="both"/>
    </w:pPr>
    <w:rPr>
      <w:rFonts w:ascii="Arial" w:hAnsi="Arial" w:eastAsia="Arial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subject>TDP-43 knockdown is associated with reduced store-operated Ca²⁺ entry and altered calcium-regulatory RNA profiles in SH-SY5Y cells</dc:subject>
  <dc:creator>Elmasnur Yılmaz; Yasemin Eraç</dc:creator>
  <cp:keywords>TDP-43; SOCE; calcium; supplementary material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