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Length-corrected family summaries showed the dominant ORAI, SERCA and mitochondrial-uptake members falling while minor members rose.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exploratory APA and NMD analyses added no confirmed core-SOCE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can modulate ORAI1-dependent SOCE in a context-dependent manner (Vaeth et al., 2017), and SARAF facilitates slow Ca²⁺-dependent inactivation of SOCE (Palty et al., 2012), including in SH-SY5Y cells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open raw reads, and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candidate events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the null produced about two-thirds as many calls as the real comparison in iPSC colonies and twice as many in K562 total RNA,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Two 500 bp windows were placed at the 5′ and 3′ ends of every intron of at least 1,200 bp (50 bp buffer from each splice site), and the terminal exon of each gene of at least 400 bp was split into proximal and distal halves, both in the direction of transcription.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Equivalent windows were built for 687 orthologous mouse genes. The corrected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Symbols were harmonised to HGNC/MGI and orthology verified via Ensembl Compara.</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For each functional family (STIM, ORAI, SERCA, TRPC, SOCE regulators, mitochondrial Ca²⁺ uptake, PMCA) we computed each member’s relative share of the family total in control cells and the change in its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98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the donor-level values are the ones reported.</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three independent cultures.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panel of Figure 6,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1).</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Ca²⁺ panels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C2C12 and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e37af7e8a9925510270676a4051bc9fd3705fd3"/>
    <w:p>
      <w:pPr>
        <w:pStyle w:val="Heading3"/>
      </w:pPr>
      <w:r>
        <w:t xml:space="preserve">3.3 Annotation-free analysis recovers cryptic exons genome-wide but does not detect high-confidence events in the core SOCE machinery</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w:t>
      </w:r>
      <w:r>
        <w:t xml:space="preserve"> </w:t>
      </w:r>
      <w:r>
        <w:rPr>
          <w:b/>
          <w:bCs/>
        </w:rPr>
        <w:t xml:space="preserve">No gene of the core SOCE/TRP panel (Tier 1, n = 51) carried a high-confidence unannotated splicing change in ten of the eleven comparisons</w:t>
      </w:r>
      <w:r>
        <w:t xml:space="preserve">, including the primary SH-SY5Y model at both doses.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second junction set), and one arm of the</w:t>
      </w:r>
      <w:r>
        <w:t xml:space="preserve"> </w:t>
      </w:r>
      <w:r>
        <w:rPr>
          <w:i/>
          <w:iCs/>
        </w:rPr>
        <w:t xml:space="preserve">CBARP</w:t>
      </w:r>
      <w:r>
        <w:t xml:space="preserve"> </w:t>
      </w:r>
      <w:r>
        <w:t xml:space="preserve">event uses a splice site absent from the annotation. This is the fourth method, after rMATS with</w:t>
      </w:r>
      <w:r>
        <w:t xml:space="preserve"> </w:t>
      </w:r>
      <w:r>
        <w:rPr>
          <w:rStyle w:val="VerbatimChar"/>
        </w:rPr>
        <w:t xml:space="preserve">--novelSS</w:t>
      </w:r>
      <w:r>
        <w:t xml:space="preserve">, LeafCutter and isoform-level testing, to converge on this locus.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current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The junction-level estimate is larger than the rMATS estimate for the same exon in the same libraries (+0.149 versus +0.059)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core machinery.</w:t>
      </w:r>
    </w:p>
    <w:bookmarkEnd w:id="32"/>
    <w:bookmarkStart w:id="33" w:name="Xe0072569ed2455cb7b49c4d9a26a1ae84c716b6"/>
    <w:p>
      <w:pPr>
        <w:pStyle w:val="Heading3"/>
      </w:pPr>
      <w:r>
        <w:t xml:space="preserve">3.5 A coverage-based APA screen yields candidate gradients but no confirmed core-SOCE events</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core SOCE targets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These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but does not establish a direct APA event in any core SOCE gene.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Two units outside the core panel are of comparable size to the</w:t>
      </w:r>
      <w:r>
        <w:t xml:space="preserve"> </w:t>
      </w:r>
      <w:r>
        <w:rPr>
          <w:i/>
          <w:iCs/>
        </w:rPr>
        <w:t xml:space="preserve">STIM</w:t>
      </w:r>
      <w:r>
        <w:t xml:space="preserve"> </w:t>
      </w:r>
      <w:r>
        <w:t xml:space="preserve">gradients and likewise exclude zero — the</w:t>
      </w:r>
      <w:r>
        <w:t xml:space="preserve"> </w:t>
      </w:r>
      <w:r>
        <w:rPr>
          <w:i/>
          <w:iCs/>
        </w:rPr>
        <w:t xml:space="preserve">ITPR3</w:t>
      </w:r>
      <w:r>
        <w:t xml:space="preserve"> </w:t>
      </w:r>
      <w:r>
        <w:t xml:space="preserve">terminal exon (−0.152) and the</w:t>
      </w:r>
      <w:r>
        <w:t xml:space="preserve"> </w:t>
      </w:r>
      <w:r>
        <w:rPr>
          <w:i/>
          <w:iCs/>
        </w:rPr>
        <w:t xml:space="preserve">MICU3</w:t>
      </w:r>
      <w:r>
        <w:t xml:space="preserve"> </w:t>
      </w:r>
      <w:r>
        <w:t xml:space="preserve">terminal exon (+0.097), with</w:t>
      </w:r>
      <w:r>
        <w:t xml:space="preserve"> </w:t>
      </w:r>
      <w:r>
        <w:rPr>
          <w:i/>
          <w:iCs/>
        </w:rPr>
        <w:t xml:space="preserve">ITPR1</w:t>
      </w:r>
      <w:r>
        <w:t xml:space="preserve"> </w:t>
      </w:r>
      <w:r>
        <w:t xml:space="preserve">at −0.055 — so the ER-release and mitochondrial-uptake arms show the same kind of candidate gradient as</w:t>
      </w:r>
      <w:r>
        <w:t xml:space="preserve"> </w:t>
      </w:r>
      <w:r>
        <w:rPr>
          <w:i/>
          <w:iCs/>
        </w:rPr>
        <w:t xml:space="preserve">STIM1</w:t>
      </w:r>
      <w:r>
        <w:t xml:space="preserve"> </w:t>
      </w:r>
      <w:r>
        <w:t xml:space="preserve">and</w:t>
      </w:r>
      <w:r>
        <w:t xml:space="preserve"> </w:t>
      </w:r>
      <w:r>
        <w:rPr>
          <w:i/>
          <w:iCs/>
        </w:rPr>
        <w:t xml:space="preserve">STIM2</w:t>
      </w:r>
      <w:r>
        <w:t xml:space="preserve"> </w:t>
      </w:r>
      <w:r>
        <w:t xml:space="preserve">rather than being spared.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w:t>
      </w:r>
      <w:r>
        <w:t xml:space="preserve"> </w:t>
      </w:r>
      <w:r>
        <w:rPr>
          <w:i/>
          <w:iCs/>
        </w:rPr>
        <w:t xml:space="preserve">STMN2</w:t>
      </w:r>
      <w:r>
        <w:t xml:space="preserve"> </w:t>
      </w:r>
      <w:r>
        <w:t xml:space="preserve">intron 2 index rose from 0.570 in controls to 0.819 in knockdown (Δ = +0.249, interval +0.208 to +0.290), and a second control moved in the expected direction (</w:t>
      </w:r>
      <w:r>
        <w:rPr>
          <w:i/>
          <w:iCs/>
        </w:rPr>
        <w:t xml:space="preserve">UNC13A</w:t>
      </w:r>
      <w:r>
        <w:t xml:space="preserve"> </w:t>
      </w:r>
      <w:r>
        <w:t xml:space="preserve">intron 31, −0.145). Against that working positive control, the core SOCE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of the two SH-SY5Y candidates,</w:t>
      </w:r>
      <w:r>
        <w:t xml:space="preserve"> </w:t>
      </w:r>
      <w:r>
        <w:rPr>
          <w:i/>
          <w:iCs/>
        </w:rPr>
        <w:t xml:space="preserve">STIM2</w:t>
      </w:r>
      <w:r>
        <w:t xml:space="preserve"> </w:t>
      </w:r>
      <w:r>
        <w:t xml:space="preserve">intron 13 did not reproduce (−0.024, interval spanning zero) while</w:t>
      </w:r>
      <w:r>
        <w:t xml:space="preserve"> </w:t>
      </w:r>
      <w:r>
        <w:rPr>
          <w:i/>
          <w:iCs/>
        </w:rPr>
        <w:t xml:space="preserve">STIM1</w:t>
      </w:r>
      <w:r>
        <w:t xml:space="preserve"> </w:t>
      </w:r>
      <w:r>
        <w:t xml:space="preserve">intron 17 did not reach the depth filter in this shallower dataset.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The positive control was informative only in the motor-neuron-like line, where the</w:t>
      </w:r>
      <w:r>
        <w:t xml:space="preserve"> </w:t>
      </w:r>
      <w:r>
        <w:rPr>
          <w:i/>
          <w:iCs/>
        </w:rPr>
        <w:t xml:space="preserve">Stmn2</w:t>
      </w:r>
      <w:r>
        <w:t xml:space="preserve"> </w:t>
      </w:r>
      <w:r>
        <w:t xml:space="preserve">intron 2 index moved in the expected direction (+0.148, interval +0.005 to +0.290); in the myoblast line that intron did not pass the depth filter. No core SOCE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neuronal models: the</w:t>
      </w:r>
      <w:r>
        <w:t xml:space="preserve"> </w:t>
      </w:r>
      <w:r>
        <w:rPr>
          <w:i/>
          <w:iCs/>
        </w:rPr>
        <w:t xml:space="preserve">SARAF</w:t>
      </w:r>
      <w:r>
        <w:t xml:space="preserve"> </w:t>
      </w:r>
      <w:r>
        <w:t xml:space="preserve">intron 5 index rises in the iPSC-derived motor neurons (+0.097) and in NSC34 (+0.204), while in SH-SY5Y the same unit is uninformative (0.000, interval −0.264 to +0.241). We record it as a candidate rather than a finding: the NSC34 interval is wide, the myoblast line shows nothing there, and a coverage gradient is not a poly(A) site.</w:t>
      </w:r>
    </w:p>
    <w:p>
      <w:pPr>
        <w:pStyle w:val="BodyText"/>
      </w:pPr>
      <w:r>
        <w:t xml:space="preserve">Taken together, the corrected analyses support altered calcium-related RNA profiles but do not establish whether any core SOCE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w:t>
      </w:r>
    </w:p>
    <w:p>
      <w:pPr>
        <w:pStyle w:val="BodyText"/>
      </w:pPr>
      <w:r>
        <w:t xml:space="preserve">In the length-corrected (TPM) estimates,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respective families (77% and 98% of the family total in control cells) and both decrease in knockdown,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 that increase.</w:t>
      </w:r>
      <w:r>
        <w:t xml:space="preserve"> </w:t>
      </w:r>
      <w:r>
        <w:rPr>
          <w:i/>
          <w:iCs/>
        </w:rPr>
        <w:t xml:space="preserve">STIM1</w:t>
      </w:r>
      <w:r>
        <w:t xml:space="preserve"> </w:t>
      </w:r>
      <w:r>
        <w:t xml:space="preserve">and</w:t>
      </w:r>
      <w:r>
        <w:t xml:space="preserve"> </w:t>
      </w:r>
      <w:r>
        <w:rPr>
          <w:i/>
          <w:iCs/>
        </w:rPr>
        <w:t xml:space="preserve">TRPC1</w:t>
      </w:r>
      <w:r>
        <w:t xml:space="preserve"> </w:t>
      </w:r>
      <w:r>
        <w:t xml:space="preserve">are the dominant members of their families and also increase. At family level the SERCA and mitochondrial-uptake pools fall (−32% and −43% of total TPM) while the STIM pool rises (+13%) and the ORAI and SOCE-regulator pools are almost unchanged (−3% and −1%). These are descriptive summaries of transcript abundance and cannot be converted directly into protein-complex stoichiometry.</w:t>
      </w:r>
    </w:p>
    <w:p>
      <w:pPr>
        <w:pStyle w:val="BodyText"/>
      </w:pPr>
      <w:r>
        <w:rPr>
          <w:i/>
          <w:iCs/>
        </w:rPr>
        <w:t xml:space="preserve">SARAF</w:t>
      </w:r>
      <w:r>
        <w:t xml:space="preserve"> </w:t>
      </w:r>
      <w:r>
        <w:t xml:space="preserve">is the dominant SOCE regulator (82% of that family’s transcript pool) and increases in the knockdown libraries.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+0.051), PLP1 (−0.074), MOG (−0.257)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−0.562 → −0.418;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the n = 3 experiments require independent biological replication and do not localise the defect exclusively to plasma-membrane influx. The length-corrected transcript summaries show decreases in the dominant ORAI and SERCA members and an increase in</w:t>
      </w:r>
      <w:r>
        <w:t xml:space="preserve"> </w:t>
      </w:r>
      <w:r>
        <w:rPr>
          <w:i/>
          <w:iCs/>
        </w:rPr>
        <w:t xml:space="preserve">SARAF</w:t>
      </w:r>
      <w:r>
        <w:t xml:space="preserve">, alongside increases in the minor members</w:t>
      </w:r>
      <w:r>
        <w:t xml:space="preserve"> </w:t>
      </w:r>
      <w:r>
        <w:rPr>
          <w:i/>
          <w:iCs/>
        </w:rPr>
        <w:t xml:space="preserve">ORAI1</w:t>
      </w:r>
      <w:r>
        <w:t xml:space="preserve"> </w:t>
      </w:r>
      <w:r>
        <w:t xml:space="preserve">and</w:t>
      </w:r>
      <w:r>
        <w:t xml:space="preserve"> </w:t>
      </w:r>
      <w:r>
        <w:rPr>
          <w:i/>
          <w:iCs/>
        </w:rPr>
        <w:t xml:space="preserve">ATP2A3</w:t>
      </w:r>
      <w:r>
        <w:t xml:space="preserve">. These patterns are compatible with a compositional contribution, but TPM is not an absolute measurement and protein abundance, membrane localisation and complex assembly were not measured. ORAI2 and MCUB also have context-dependent regulatory roles, so their RNA changes cannot be assigned a unique functional direction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core SOCE genes nonetheless moved little; the conservative NMD analysis did not yield a genome-wide significant gene. The corrected data therefore do not establish direct or indirect targeting of the core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Ca²⁺ imaging and four wells for viability; the number of biological replicates is small,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length-corrected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Excluding reference skips reduced the</w:t>
      </w:r>
      <w:r>
        <w:t xml:space="preserve"> </w:t>
      </w:r>
      <w:r>
        <w:rPr>
          <w:i/>
          <w:iCs/>
        </w:rPr>
        <w:t xml:space="preserve">STMN2</w:t>
      </w:r>
      <w:r>
        <w:t xml:space="preserve"> </w:t>
      </w:r>
      <w:r>
        <w:t xml:space="preserve">positive control in SH-SY5Y from a near-complete shift to +0.145 (bootstrap 95% CI +0.085 to +0.205), and the control then falls just below the pre-specified depth filter, so the negative result in that model rests on an assay whose sensitivity could not be demonstrated there. Across the four comparisons in which the corrected analysis could be run, the assay’s own positive control is informative in the two neuronal models — the iPSC-derived motor neurons and NSC34 — and silent in SH-SY5Y and in the C2C12 myoblast line; the iPSC-derived motor neurons have only two replicates per group, so the interval around their working control is coarse. The analysis identified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in SH-SY5Y, neither of which was confirmed in another comparison, and no large APA shift in the core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core SOCE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2.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3. Robust SOCE splicing candidates in SH-SY5Y</w:t>
      </w:r>
      <w:r>
        <w:t xml:space="preserve"> </w:t>
      </w:r>
      <w:r>
        <w:t xml:space="preserve">with replicate-level bootstrap 95% confidence intervals (10,000 resamples).</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comparison under the permissive definition, with FUS and TAF15 knockdown as controls. (B) Depth-qualified intronic and distal 3′-terminal usage estimates in the corrected SH-SY5Y analysis. (C) Coverage at the two ends of</w:t>
      </w:r>
      <w:r>
        <w:t xml:space="preserve"> </w:t>
      </w:r>
      <w:r>
        <w:rPr>
          <w:i/>
          <w:iCs/>
        </w:rPr>
        <w:t xml:space="preserve">STMN2</w:t>
      </w:r>
      <w:r>
        <w:t xml:space="preserve"> </w:t>
      </w:r>
      <w:r>
        <w:t xml:space="preserve">intron 2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per family member in control and TDP-43 knockdown cells for the ORAI, SERCA, STIM, SOCE-regulator and mitochondrial-uptake families; the TRPC and PMCA families are given in Table 4. Asterisks mark the RT-qPCR targets, each of which is a minor member of its family.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core SOCE machinery genes in the primary SH-SY5Y model, with bootstrap confidence intervals. The</w:t>
      </w:r>
      <w:r>
        <w:t xml:space="preserve"> </w:t>
      </w:r>
      <w:r>
        <w:rPr>
          <w:i/>
          <w:iCs/>
        </w:rPr>
        <w:t xml:space="preserve">CBARP</w:t>
      </w:r>
      <w:r>
        <w:t xml:space="preserve"> </w:t>
      </w:r>
      <w:r>
        <w:t xml:space="preserve">events, which lie outside the core panel, are in Supplementary Table S3.</w:t>
      </w:r>
      <w:r>
        <w:t xml:space="preserve"> </w:t>
      </w:r>
      <w:r>
        <w:rPr>
          <w:b/>
          <w:bCs/>
        </w:rPr>
        <w:t xml:space="preserve">Table 3.</w:t>
      </w:r>
      <w:r>
        <w:t xml:space="preserve"> </w:t>
      </w:r>
      <w:r>
        <w:t xml:space="preserve">Cryptic events recovered by annotation-free junction analysis in eleven comparisons, with RNA-binding-protein specificity controls.</w:t>
      </w:r>
      <w:r>
        <w:t xml:space="preserve"> </w:t>
      </w:r>
      <w:r>
        <w:rPr>
          <w:b/>
          <w:bCs/>
        </w:rPr>
        <w:t xml:space="preserve">Table 4.</w:t>
      </w:r>
      <w:r>
        <w:t xml:space="preserve"> </w:t>
      </w:r>
      <w:r>
        <w:t xml:space="preserve">Transcript-family abundance of SOCE-related genes in SH-SY5Y.</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rMATS events meeting FDR &lt; 0.05 and |ΔPSI| ≥ 0.10, JC and JCEC, six datasets, with the raw junction counts needed to reproduce the coverage pre-filter.</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High-confidence unannotated splicing changes in every comparison, including the independently produced mapping-quality-filtered SH-SY5Y junction set.</w:t>
      </w:r>
      <w:r>
        <w:t xml:space="preserve"> </w:t>
      </w:r>
      <w:r>
        <w:rPr>
          <w:b/>
          <w:bCs/>
        </w:rPr>
        <w:t xml:space="preserve">S6.</w:t>
      </w:r>
      <w:r>
        <w:t xml:space="preserve"> </w:t>
      </w:r>
      <w:r>
        <w:t xml:space="preserve">Cryptic positive controls, the sixteen literature genes, and the dataset × gene recovery matrix.</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r>
        <w:t xml:space="preserve"> </w:t>
      </w:r>
      <w:r>
        <w:rPr>
          <w:b/>
          <w:bCs/>
        </w:rPr>
        <w:t xml:space="preserve">S10.</w:t>
      </w:r>
      <w:r>
        <w:t xml:space="preserve"> </w:t>
      </w:r>
      <w:r>
        <w:t xml:space="preserve">Nonsense-mediated decay interaction for the SOCE panel and the panel-level tests, four-condition analysis.</w:t>
      </w:r>
      <w:r>
        <w:t xml:space="preserve"> </w:t>
      </w:r>
      <w:r>
        <w:rPr>
          <w:b/>
          <w:bCs/>
        </w:rPr>
        <w:t xml:space="preserve">S11.</w:t>
      </w:r>
      <w:r>
        <w:t xml:space="preserve"> </w:t>
      </w:r>
      <w:r>
        <w:t xml:space="preserve">Depth-qualified intronic polyadenylation and 3′UTR usage estimates from the corrected analysis in all four comparisons; these are coverage gradients, not direct poly(A)-site calls.</w:t>
      </w:r>
      <w:r>
        <w:t xml:space="preserve"> </w:t>
      </w:r>
      <w:r>
        <w:rPr>
          <w:b/>
          <w:bCs/>
        </w:rPr>
        <w:t xml:space="preserve">S12.</w:t>
      </w:r>
      <w:r>
        <w:t xml:space="preserve"> </w:t>
      </w:r>
      <w:r>
        <w:t xml:space="preserve">Machine-readable version of Table 3: cryptic event counts by comparison, with the FUS and TAF15 knockdown controls and the null-test ratios.</w:t>
      </w:r>
      <w:r>
        <w:t xml:space="preserve"> </w:t>
      </w: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r>
        <w:t xml:space="preserve"> </w:t>
      </w:r>
      <w:r>
        <w:rPr>
          <w:b/>
          <w:bCs/>
        </w:rPr>
        <w:t xml:space="preserve">S14.</w:t>
      </w:r>
      <w:r>
        <w:t xml:space="preserve"> </w:t>
      </w:r>
      <w:r>
        <w:t xml:space="preserve">Control-versus-control null test of the cryptic calling procedure.</w:t>
      </w:r>
      <w:r>
        <w:t xml:space="preserve"> </w:t>
      </w: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2026-09-18T19:39:10Z</dcterms:created>
  <dcterms:modified xsi:type="dcterms:W3CDTF">2026-09-18T19:39:10Z</dcterms:modified>
</cp:coreProperties>
</file>

<file path=docProps/custom.xml><?xml version="1.0" encoding="utf-8"?>
<Properties xmlns="http://schemas.openxmlformats.org/officeDocument/2006/custom-properties" xmlns:vt="http://schemas.openxmlformats.org/officeDocument/2006/docPropsVTypes"/>
</file>