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Ca²⁺-readdition amplitudes averaged 1.542 and 0.245 Δ(F340/F380) in control and shTDP-43 cells, respectively (n = 3). ER Ca²⁺ release amplitudes were 0.268 and 0.180 Δ(F340/F380), respectively.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brain, TRPC1 and SARAF increased and CBARP decreased in six of seven regions,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Excluding reference skips matters for an intronic index: counted as depth, the skips of spliced reads fill intronic windows, and in SH-SY5Y they would raise the</w:t>
      </w:r>
      <w:r>
        <w:t xml:space="preserve"> </w:t>
      </w:r>
      <w:r>
        <w:rPr>
          <w:i/>
          <w:iCs/>
        </w:rPr>
        <w:t xml:space="preserve">STMN2</w:t>
      </w:r>
      <w:r>
        <w:t xml:space="preserve"> </w:t>
      </w:r>
      <w:r>
        <w:t xml:space="preserve">intron 2 index difference from +0.145 to +0.489.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(Sinha et al., 2025; i3Neurons;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jc w:val="both"/>
      </w:pPr>
      <w:r>
        <w:rPr>
          <w:i/>
          <w:iCs/>
        </w:rPr>
        <w:t xml:space="preserve">interaction(c) = [log2(TDP-43 knockdown + NMD inhibition c) − log2(TDP-43 knockdown)] − [log2(control + NMD inhibition c) − log2(control)]</w:t>
      </w:r>
    </w:p>
    <w:p>
      <w:pPr>
        <w:pStyle w:val="BodyText"/>
        <w:jc w:val="both"/>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2026 and 3 June – 10 July 2026). Primer sequences, product sizes, annealing temperatures and the thermal cycling profile are given in Supplementary Table S1.</w:t>
      </w:r>
    </w:p>
    <w:p>
      <w:pPr>
        <w:pStyle w:val="BodyText"/>
        <w:jc w:val="both"/>
      </w:pPr>
      <w:r>
        <w:t xml:space="preserve">GAPDH was the sole reference gene. In the four-target RNA set, its mean Ct was 19.49 in non-targeting shRNA controls and 19.50 in shTDP-43 cells (n = 4 each).</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Fura-2 recordings from non-targeting shRNA control and shTDP-43 cells were obtained 72 h after transduction, while puromycin selection was still in progress. RNA was collected from parallel cultures on day 5, after selection. Cells were seeded in 24-well plates at 40,000 cells per well.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(n = 3).</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wells per group; values are reported as mean ± SEM. No direct cell-count normalisation was applied.</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(GraphPad Prism 10). Fura-2 amplitudes (n = 3) and WST-1 well signals (n = 4) were summarised descriptively. Significance was set at adjusted p &lt; 0.05 for the four-target RT-qPCR family.</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t xml:space="preserve">Lentiviral shRNA reduced TARDBP mRNA by 94.4% relative to the non-targeting shRNA control and 94.8% relative to non-transduced cells (one-way ANOVA with Tukey’s test, p &lt; 0.0001, n = 4).</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 adjusted p &lt; 0.01, *** adjusted p &lt; 0.001). (C) WST-1 metabolic signal at 48 h (n = 4; descriptive summary only). Bars represent means ± SEM; dots are individual measurements.</w:t>
      </w:r>
    </w:p>
    <w:p>
      <w:pPr>
        <w:pStyle w:val="BodyText"/>
        <w:jc w:val="both"/>
      </w:pPr>
      <w:r>
        <w:t xml:space="preserve">The Fura-2 Ca²⁺-readdition amplitude was markedly lower in shTDP-43 cells (Figure 2). The ER Ca²⁺-release means were 0.268 ± 0.042 and 0.180 ± 0.061 Δ(F340/F380) in the control and shTDP-43 groups, respectively. The readdition amplitudes were 1.542 ± 0.282 and 0.245 ± 0.083, respectively (n = 3). At 48 h, the WST-1 signal was 61.5 ± 0.8% of control, a 38.5% decrease (n = 4). These Fura-2 and WST-1 comparisons are descriptive.</w:t>
      </w:r>
    </w:p>
    <w:p>
      <w:pPr>
        <w:pStyle w:val="BodyText"/>
        <w:jc w:val="both"/>
      </w:pPr>
      <w:r>
        <w:t xml:space="preserve">The transcript changes and functional change are therefore in opposite directions. This is the central observation of the study.</w:t>
      </w:r>
    </w:p>
    <w:p>
      <w:pPr>
        <w:keepNext/>
        <w:pageBreakBefore/>
        <w:spacing w:before="0" w:after="140"/>
        <w:jc w:val="center"/>
      </w:pPr>
      <w:r>
        <w:drawing>
          <wp:inline>
            <wp:extent cx="5532120" cy="5016929"/>
            <wp:docPr id="2" name="Picture 2"/>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5016929"/>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Original representative traces from non-targeting shRNA control and shTDP-43 cells, shown at their native axis ranges. CPA (10 µM) and CaCl₂ (nominally 1.5 mM) additions are indicated. (C) ER Ca²⁺ release after CPA. (D) Ca²⁺-readdition amplitude. Panels C and D show individual measurements and mean ± SEM (n = 3; descriptive).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fivefold in adjusted TPM (DESeq2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Robust splicing changes concentrate in SOCE regulators</w:t>
      </w:r>
    </w:p>
    <w:p>
      <w:pPr>
        <w:pStyle w:val="FirstParagraph"/>
        <w:jc w:val="both"/>
      </w:pPr>
      <w:r>
        <w:t xml:space="preserve">Applying the robustness criteria to the twelve SOCE-machinery genes examined event by event (Methods 2.3) identified a small set of events supported by adequate coverage and bootstrap intervals excluding zero (Table 3, Supplementary Figure S3).</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32 events met both the threshold and the coverage criteria in five of the six datasets (iPSC colonies, mouse striatum, SH-SY5Y, C2C12 and NSC34)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3.5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t xml:space="preserve">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jc w:val="both"/>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they are the ratio of two call counts from analyses with different sample sizes and different numbers of tests, but they show that call counts are not interpretable on their own. In the remaining eight comparisons (the two SH-SY5Y doses, the three iPSC-derived motor neuron comparisons, K562 poly(A)+ mRNA, C2C12 and NSC34),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This was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(Supplementary Figure S4B).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jc w:val="both"/>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jc w:val="both"/>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jc w:val="both"/>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jc w:val="both"/>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t xml:space="preserve">In the primary SH-SY5Y model the positive control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(Supplementary Figure S6B).</w:t>
      </w:r>
    </w:p>
    <w:p>
      <w:pPr>
        <w:pStyle w:val="BodyText"/>
        <w:jc w:val="both"/>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3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3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jc w:val="both"/>
      </w:pPr>
      <w:r>
        <w:t xml:space="preserve">The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responded only moderately in this model, absence of a signal should not be interpreted as evidence that these genes are definitively spared.</w:t>
      </w:r>
    </w:p>
    <w:p>
      <w:pPr>
        <w:pStyle w:val="BodyText"/>
        <w:jc w:val="both"/>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For this comparison, n = 2, so the enumerated bootstrap has sixteen draws and its intervals are coarse; the point estimates, not the intervals, carry the information.</w:t>
      </w:r>
    </w:p>
    <w:p>
      <w:pPr>
        <w:pStyle w:val="BodyText"/>
        <w:jc w:val="both"/>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jc w:val="both"/>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4;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cohorts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of ten multiple sclerosis donors with NAWM samples versus five control donors, δ = −0.771, uncorrected p = 0.030). In the full GSE138614 sample-level comparison, regression of TRPC1 on MBP, PLP1 and GFAP attenuated the unadjusted difference from δ = −0.562 to Cliff’s δ of −0.418 on the residuals (p = 0.002) but not at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4.</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Heading3"/>
        <w:rPr>
          <w:b w:val="1"/>
        </w:rPr>
        <w:jc w:val="left"/>
      </w:pPr>
      <w:r>
        <w:rPr>
          <w:b/>
        </w:rPr>
        <w:t xml:space="preserve">3.10 Exploratory analysis of ALS regional transcript patterns</w:t>
      </w:r>
    </w:p>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transcript data do not show a simple loss of core SOCE mRNAs; they do not establish protein abundance. Channel composition, feedback inhibition, ER refilling and cellular bioenergetics remain possible interacting determinants. Across independent datasets, canonical TDP-43 RNA targets behaved as expected, whereas calcium-gene processing changes were selective and context dependent.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The ER-release mean decreased from 0.268 to 0.180 Δ(F340/F380), while the subsequent SOCE amplitude showed a much larger proportional decrease. A smaller releasable store may contribute to the reduced readdition amplitude; these data do not quantify its contribution.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localisation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A rise in these transcripts could also be compensatory after reduced Ca²⁺ signalling; the present measurements do not establish which change came first.</w:t>
      </w:r>
    </w:p>
    <w:p>
      <w:pPr>
        <w:pStyle w:val="BodyText"/>
        <w:jc w:val="both"/>
      </w:pPr>
      <w:r>
        <w:t xml:space="preserve">Interpretation of the Fura-2 readdition signal also depends on Ca²⁺ clearance. The adjusted PMCA transcript pool rose by 35.2% in the public SH-SY5Y model (Table 1); ATP2B2 and ATP2B3 increased by 207% and 307%, respectively, from low baseline abundance, while ATP2A3 rose and ATP2A2 fell. Faster plasma-membrane extrusion or ER re-uptake could reduce the cytosolic peak even if channel influx were unchanged.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These comparisons make the observed transcript pattern mechanistically informative without assigning the phenotype to one component: the likely variable is the assembled channel and its feedback kinetics in this cellular background.</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The contrast is biologically meaningful because astroglial hyperactive entry, neuronal-like cell entry failure and ER-store depletion can all disturb calcium signalling through different routes.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The WST-1 assay measures metabolic signal rather than cell number. Because the assays used separate cultures and no cell-count normalisation was performed, the WST-1 and Fura-2 percentages cannot be compared as equivalent measures. The lower WST-1 signal is consistent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It nevertheless links the WST-1 phenotype to a broader bioenergetic and calcium-buffering response.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had a median |ΔPSI| of 0.37 and a median of 246 junction reads per event, was independently supported by the annotation-free analysis and showed the largest expression change among the SOCE-regulatory genes.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(ΔPSI +0.0013, 95% CI −0.022 to +0.024; p = 0.914).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 The resulting hierarchy is stronger than a long candidate list because it distinguishes recurrent signals from coverage-sensitive observations.</w:t>
      </w:r>
    </w:p>
    <w:p>
      <w:pPr>
        <w:pStyle w:val="BodyText"/>
        <w:jc w:val="both"/>
      </w:pPr>
      <w:r>
        <w:rPr>
          <w:b/>
        </w:rPr>
        <w:t xml:space="preserve">Relevance to disease tissue. </w:t>
      </w:r>
      <w:r>
        <w:t xml:space="preserve">TRPC1 and SARAF increased and CBARP decreased in six of seven ALS brain regions, matching the direction observed in the public SH-SY5Y model. TRPC1 remained unchanged in spinal cord and decreased in the neurological comparison cohorts. Because bulk-tissue expression is sensitive to region and cellular composition, these observations identify disease-associated candidates rather than a direct TDP-43-driven mechanism. Together with the opposing direction of SOCE changes reported in SOD1 astrocytes, these findings indicate that cell identity and compensatory state shape the calcium-regulatory phenotype.</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A coherent model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depolarization-evoked Ca²⁺ entry or secretion than on CPA-triggered SOCE. These outcomes would distinguish store, channel-composition and broader calcium-network mechanisms and place the functional phenotype within a directly testable neurochemical framework.</w:t>
      </w:r>
    </w:p>
    <w:p>
      <w:pPr>
        <w:pStyle w:val="BodyText"/>
        <w:jc w:val="both"/>
      </w:pPr>
      <w:r>
        <w:t xml:space="preserve">The laboratory assay used undifferentiated, proliferative SH-SY5Y cells; the public iPSC-derived motor-neuron datasets extend the RNA comparisons but do not provide a matched functional measurement in motor neurons.</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v1.0.2 at https://github.com/elmasnuryilmaz/tdp43-soce-manuscript/releases/tag/v1.0.2.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w:t>
      </w:r>
      <w:r>
        <w:t xml:space="preserve"> </w:t>
      </w:r>
      <w:r>
        <w:t xml:space="preserve">Depth-qualified intronic polyadenylation and 3′UTR usage estimates in all four comparisons, with the genomic windows of every unit; these are coverage gradients, not direct poly(A)-site calls.</w:t>
      </w:r>
    </w:p>
    <w:p>
      <w:pPr>
        <w:pStyle w:val="BodyText"/>
        <w:jc w:val="both"/>
      </w:pPr>
      <w:r>
        <w:rPr>
          <w:b/>
          <w:bCs/>
        </w:rPr>
        <w:t xml:space="preserve">S12.</w:t>
      </w:r>
      <w:r>
        <w:t xml:space="preserve"> </w:t>
      </w:r>
      <w:r>
        <w:t xml:space="preserve">Machine-readable version of Table 4: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 The supplementary material also contains Figures S1–S8 and their legends.</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