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a lower Ca²⁺-readdition response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in the knockdown wells of one culture plate (three wells per group; descriptive). ER Ca²⁺ release was 33% lower, and readdition normalised to each well’s own release was 77% lower. At 48 h, the WST-1 signal was 38.5% lower in four wells from one of three experiments (descriptive).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observed Fura-2 difference. In ALS tissue, TRPC1 and SARAF increased and CBARP decreased in six brain regions, and SARAF and CBARP changed in the same direction in cervical and lumbar cord, but these tissue associations could not be attributed to TDP-43 loss. The single-plate Fura-2 observation requires independent replication; the RNA analyses identify candidate calcium-regulatory changes without establishing a causal link to that response.</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xml:space="preserve">, which estimated two surrogate variables in the primary SH-SY5Y comparison. Refitting with them leaves the fold changes in place: the direction agrees for every gene that stays differentially expressed and the median change in log2 fold change is 0.20 across the 14,012 genes with an adjusted p value in both fits. It costs power, because two of the four residual degrees of freedom are then spent on the surrogate variables, so 1,694 genes meet the thresholds in the model used here and 1,067 in the surrogate-variable model, 850 of them shared. </w:t>
      </w:r>
      <w:r>
        <w:rPr>
          <w:i/>
        </w:rPr>
        <w:t xml:space="preserve">STIM1</w:t>
      </w:r>
      <w:r>
        <w:t xml:space="preserve">, </w:t>
      </w:r>
      <w:r>
        <w:rPr>
          <w:i/>
        </w:rPr>
        <w:t xml:space="preserve">TRPC1</w:t>
      </w:r>
      <w:r>
        <w:t xml:space="preserve">, </w:t>
      </w:r>
      <w:r>
        <w:rPr>
          <w:i/>
        </w:rPr>
        <w:t xml:space="preserve">ORAI3</w:t>
      </w:r>
      <w:r>
        <w:t xml:space="preserve">, </w:t>
      </w:r>
      <w:r>
        <w:rPr>
          <w:i/>
        </w:rPr>
        <w:t xml:space="preserve">SARAF</w:t>
      </w:r>
      <w:r>
        <w:t xml:space="preserve"> and </w:t>
      </w:r>
      <w:r>
        <w:rPr>
          <w:i/>
        </w:rPr>
        <w:t xml:space="preserve">CBARP</w:t>
      </w:r>
      <w:r>
        <w:t xml:space="preserve"> remain differentially expressed in both fits; </w:t>
      </w:r>
      <w:r>
        <w:rPr>
          <w:i/>
        </w:rPr>
        <w:t xml:space="preserve">ORAI1</w:t>
      </w:r>
      <w:r>
        <w:t xml:space="preserve">, </w:t>
      </w:r>
      <w:r>
        <w:rPr>
          <w:i/>
        </w:rPr>
        <w:t xml:space="preserve">ATP2A3</w:t>
      </w:r>
      <w:r>
        <w:t xml:space="preserve">, </w:t>
      </w:r>
      <w:r>
        <w:rPr>
          <w:i/>
        </w:rPr>
        <w:t xml:space="preserve">ATP2A2</w:t>
      </w:r>
      <w:r>
        <w:t xml:space="preserve"> and </w:t>
      </w:r>
      <w:r>
        <w:rPr>
          <w:i/>
        </w:rPr>
        <w:t xml:space="preserve">STIM2</w:t>
      </w:r>
      <w:r>
        <w:t xml:space="preserve"> do not, and the first two are among the four targets confirmed by RT-qPCR in the laboratory cells. The per-gene comparison is provided in the analysis package (source_data/svaseq_sensitivity_SHSY5Y.csv).</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Gene-level q values from this pipeline are the screening-stage values of the stage-wise procedure, and stageR supplies the confirmation stage that asks which individual transcripts carry the gene-level signal.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 with the four NMD-inhibition conditions as the unit of inference. The model, the gene filter and the tests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1,640 samples with metadata after filtering)","plainCitation":"(GSE153960; Prudencio et al., 2020; 1,640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1,640 samples with metadata after filtering"}],"schema":"https://github.com/citation-style-language/schema/raw/master/csl-citation.json"} </w:instrText>
      </w:r>
      <w:r>
        <w:fldChar w:fldCharType="separate"/>
      </w:r>
      <w:r>
        <w:t>(GSE153960; Prudencio et al., 2020; 1,640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Groups were used as single labels: 266 samples annotated with both ALS Spectrum MND and Other Neurological Disorders, and two annotated with Pre-fALS and Other Neurological Disorders, were assigned to neither group.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w:t>
      </w:r>
      <w:r>
        <w:rPr>
          <w:i/>
        </w:rPr>
        <w:t xml:space="preserve">GFAP</w:t>
      </w:r>
      <w:r>
        <w:t xml:space="preserve">, </w:t>
      </w:r>
      <w:r>
        <w:rPr>
          <w:i/>
        </w:rPr>
        <w:t xml:space="preserve">AIF1</w:t>
      </w:r>
      <w:r>
        <w:t xml:space="preserve">, </w:t>
      </w:r>
      <w:r>
        <w:rPr>
          <w:i/>
        </w:rPr>
        <w:t xml:space="preserve">SNAP25</w:t>
      </w:r>
      <w:r>
        <w:t xml:space="preserve">, </w:t>
      </w:r>
      <w:r>
        <w:rPr>
          <w:i/>
        </w:rPr>
        <w:t xml:space="preserve">RBFOX3</w:t>
      </w:r>
      <w:r>
        <w:t xml:space="preserve">, </w:t>
      </w:r>
      <w:r>
        <w:rPr>
          <w:i/>
        </w:rPr>
        <w:t xml:space="preserve">MBP</w:t>
      </w:r>
      <w:r>
        <w:t xml:space="preserve">, </w:t>
      </w:r>
      <w:r>
        <w:rPr>
          <w:i/>
        </w:rPr>
        <w:t xml:space="preserve">PLP1</w:t>
      </w:r>
      <w:r>
        <w:t xml:space="preserve">) were carried through all comparisons. To ask whether the </w:t>
      </w:r>
      <w:r>
        <w:rPr>
          <w:i/>
        </w:rPr>
        <w:t xml:space="preserve">TRPC1</w:t>
      </w:r>
      <w:r>
        <w:t xml:space="preserve"> differences reflected cell composition, </w:t>
      </w:r>
      <w:r>
        <w:rPr>
          <w:i/>
        </w:rPr>
        <w:t xml:space="preserve">TRPC1</w:t>
      </w:r>
      <w:r>
        <w:t xml:space="preserve"> was regressed within each region on a neuronal marker (</w:t>
      </w:r>
      <w:r>
        <w:rPr>
          <w:i/>
        </w:rPr>
        <w:t xml:space="preserve">SNAP25</w:t>
      </w:r>
      <w:r>
        <w:t xml:space="preserve"> or </w:t>
      </w:r>
      <w:r>
        <w:rPr>
          <w:i/>
        </w:rPr>
        <w:t xml:space="preserve">RBFOX3</w:t>
      </w:r>
      <w:r>
        <w:t xml:space="preserve">), alone or together with </w:t>
      </w:r>
      <w:r>
        <w:rPr>
          <w:i/>
        </w:rPr>
        <w:t xml:space="preserve">GFAP</w:t>
      </w:r>
      <w:r>
        <w:t xml:space="preserve">, by ordinary least squares with an intercept across all samples of the comparison, as for multiple sclerosis; the residuals were compared with the Mann–Whitney U test and Cliff’s δ, with Benjamini–Hochberg correction within each group and model.</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 The same indicator was computed for the comparison group, on the samples of the expression comparison that reached the read threshold; where a sample had been sequenced as more than one library, the reads were pooled so that each sample counts once. Within that group, associations with cryptic PSI were tested by Spearman correlation and, to separate them from neuronal content, by partial Spearman correlation on </w:t>
      </w:r>
      <w:r>
        <w:rPr>
          <w:i/>
        </w:rPr>
        <w:t xml:space="preserve">SNAP25</w:t>
      </w:r>
      <w:r>
        <w:t xml:space="preserve">.</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three samples per group came from separate wells of the same culture plate and were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wells on the same plate (n = 3 technical replicates), and both phases were read from the same recording of each well. No independent Fura-2 culture experiment is available for this comparison.</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The Fura-2 data comprise three wells per group from one culture plate. We report their means, well-to-well SEM and observed differences descriptively; no inferential p value, confidence interval or standardised effect size is assigned to the Fura-2 comparison because wells from one plate are not independent biological replicates. The readdition-to-release ratio of each well was likewise summarised descriptively. The 48-h WST-1 values are four wells from one of three experiments and are also summarised descriptively; the other two experiments are not available in the package.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wells of a single experiment, that is technical replicates; summarised descriptively and not tested). Bars represent means ± SEM; dots are individual measurements.</w:t>
      </w:r>
    </w:p>
    <w:p>
      <w:pPr>
        <w:pStyle w:val="BodyText"/>
        <w:jc w:val="both"/>
      </w:pPr>
      <w:r>
        <w:t xml:space="preserve">The Fura-2 Ca²⁺-readdition amplitude was markedly lower in shTDP-43 cells (Figure 2). The readdition amplitude was 1.542 ± 0.282 in control wells and 0.245 ± 0.083 Δ(F340/F380) in knockdown wells (mean ± well-to-well SEM, three wells per group on one plate; difference −1.30, or 84% of the control mean). The observed ranges were 1.013–1.975 and 0.080–0.338, respectively. ER Ca²⁺ release was 0.268 ± 0.042 and 0.180 ± 0.061 (difference −0.088, or 33% of the control mean). Because both phases came from the same recording, readdition was also expressed relative to each well’s own release. This ratio was 5.88 ± 1.10 in controls and 1.36 ± 0.01 after knockdown, 77% lower; every knockdown well had a lower ratio than every control well (Supplementary Table S1). The ratio pattern suggests that a smaller releasable store alone may not explain the within-plate difference, but it cannot establish that this response recurs across independent cultures.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measured mRNAs and the within-plate Fura-2 response therefore moved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three wells per group from one culture plate and mean ± well-to-well SEM; the comparisons are descriptive and no inferential test is shown.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hypotheses for the lower calcium-readdition signal observed in one laboratory plate.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placed </w:t>
      </w:r>
      <w:r>
        <w:rPr>
          <w:i/>
        </w:rPr>
        <w:t xml:space="preserve">STIM1</w:t>
      </w:r>
      <w:r>
        <w:t xml:space="preserve"> among the genes with differential isoform usage at the screening stage (DRIMSeq gene-level q = 5.49 × 10⁻⁷), but the stage-wise confirmation did not single out any transcript: all seven </w:t>
      </w:r>
      <w:r>
        <w:rPr>
          <w:i/>
        </w:rPr>
        <w:t xml:space="preserve">STIM1</w:t>
      </w:r>
      <w:r>
        <w:t xml:space="preserve"> transcripts carried a confirmation-stage adjusted p of 1.0. Two </w:t>
      </w:r>
      <w:r>
        <w:rPr>
          <w:i/>
        </w:rPr>
        <w:t xml:space="preserve">STIM1</w:t>
      </w:r>
      <w:r>
        <w:t xml:space="preserve"> isoforms are predicted to carry premature termination codons, and neither is among the ones whose usage changes (isoform-level q = 0.33 and 0.77), whereas the two that do change are not predicted to carry them. The gene-level signal is therefore not attributable to a premature-termination-codon isoform.</w:t>
      </w:r>
      <w:r>
        <w:t xml:space="preserve"/>
      </w:r>
      <w:r>
        <w:rPr>
          <w:i/>
          <w:iCs/>
        </w:rPr>
        <w:t xml:space="preserve"/>
      </w:r>
      <w:r>
        <w:t xml:space="preserve"/>
      </w:r>
      <w:r>
        <w:t xml:space="preserve"/>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An outlier-based method, FRASER, returned no genome-wide significant outlier and no difference in per-sample outlier burden between depleted and control libraries, which is how such a method behaves when the aberrant state is the majority of the cohort (Supplementary Results 1).</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allows this to be tested as an interaction (Methods 2.8; Supplementary Figure S5; Supplementary Results 2). No gene passed genome-wide correction in the conservative four-condition analysis (smallest q = 0.053). CBARP had the largest interaction of the SOCE panel (+1.52 log₂, positive in all four conditions; Supplementary Table S10) but a condition-level q of 0.145, so the screen ranks it rather than establishing it as an NMD target. The analysis carries little weight in either direction: the sixteen literature positive controls were not NMD-sensitive as a group either (median interaction −0.11 log₂; p = 0.62), so this dataset does not demonstrate the sensitivity that would make a negative result for the SOCE genes informative.</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so neither line can say whether an absent signal means an absent event. No SOCE-machinery unit exceeded |Δ| = 0.30 in either line. One unit is positive in both motor-neuron models, the SARAF intron 5 index (+0.097 in the iPSC-derived motor neurons and +0.204 in NSC34, against 0.000 in SH-SY5Y); we record it as a candidate rather than a finding, for the reasons set out in Supplementary Results 3, where the mouse values are given in full.</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Taken together, these analyses support altered calcium-related RNA profiles but do not establish whether any SOCE-machinery gene is a direct target of cryptic splicing, APA or NMD-coupled degradation. The NMD and APA screens are hypothesis-generating: the first because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Two nominal results among 24 dataset–panel combinations, drawn from panels that are nested by construction, is what chance gives. Once the number of combinations is taken into account there is no evidence that Ca²⁺ homeostasis genes are enriched for splicing changes, and the apparent enrichment in the primary model is explained by the length and expression properties of those genes. We report the two motor-neuron panels as the only combinations that survived matching, not as an established enrichment.</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Because </w:t>
      </w:r>
      <w:r>
        <w:rPr>
          <w:i/>
        </w:rPr>
        <w:t xml:space="preserve">TRPC1</w:t>
      </w:r>
      <w:r>
        <w:t xml:space="preserve"> followed neuronal content in every group and region (Spearman ρ with </w:t>
      </w:r>
      <w:r>
        <w:rPr>
          <w:i/>
        </w:rPr>
        <w:t xml:space="preserve">SNAP25</w:t>
      </w:r>
      <w:r>
        <w:t xml:space="preserve"> = 0.34 to 0.86; Supplementary Table S18c), we regressed it on cell-composition markers (Methods 2.11). The ALS increase was attenuated but not reversed: in the six regions in which it was significant, the adjusted δ remained positive under every marker combination (+0.26 to +0.66), and it remained significant in cerebellum, frontal cortex and medial motor cortex whichever markers were used, and in all six regions after adjustment for </w:t>
      </w:r>
      <w:r>
        <w:rPr>
          <w:i/>
        </w:rPr>
        <w:t xml:space="preserve">RBFOX3</w:t>
      </w:r>
      <w:r>
        <w:t xml:space="preserve"> (Supplementary Table S18).</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In this group </w:t>
      </w:r>
      <w:r>
        <w:rPr>
          <w:i/>
        </w:rPr>
        <w:t xml:space="preserve">SNAP25</w:t>
      </w:r>
      <w:r>
        <w:t xml:space="preserve"> fell and </w:t>
      </w:r>
      <w:r>
        <w:rPr>
          <w:i/>
        </w:rPr>
        <w:t xml:space="preserve">GFAP</w:t>
      </w:r>
      <w:r>
        <w:t xml:space="preserve"> rose in frontal and temporal cortex (</w:t>
      </w:r>
      <w:r>
        <w:rPr>
          <w:i/>
        </w:rPr>
        <w:t xml:space="preserve">SNAP25</w:t>
      </w:r>
      <w:r>
        <w:t xml:space="preserve"> δ = −0.57 and −0.55; </w:t>
      </w:r>
      <w:r>
        <w:rPr>
          <w:i/>
        </w:rPr>
        <w:t xml:space="preserve">GFAP</w:t>
      </w:r>
      <w:r>
        <w:t xml:space="preserve"> δ = +0.59 and +0.64), consistent with neuronal loss and astrogliosis. Adjustment for </w:t>
      </w:r>
      <w:r>
        <w:rPr>
          <w:i/>
        </w:rPr>
        <w:t xml:space="preserve">SNAP25</w:t>
      </w:r>
      <w:r>
        <w:t xml:space="preserve"> removed most of the temporal-cortex decrease in </w:t>
      </w:r>
      <w:r>
        <w:rPr>
          <w:i/>
        </w:rPr>
        <w:t xml:space="preserve">TRPC1</w:t>
      </w:r>
      <w:r>
        <w:t xml:space="preserve"> (δ = −0.571 before and −0.169 after; −0.390 after adjustment for </w:t>
      </w:r>
      <w:r>
        <w:rPr>
          <w:i/>
        </w:rPr>
        <w:t xml:space="preserve">RBFOX3</w:t>
      </w:r>
      <w:r>
        <w:t xml:space="preserve">) but not the frontal or cerebellar decrease (−0.42 to −0.68 and −0.39 to −0.42 across the four models; Supplementary Table S18).</w:t>
      </w:r>
      <w:r>
        <w:t xml:space="preserve"/>
      </w:r>
      <w:r>
        <w:rPr>
          <w:i/>
          <w:iCs/>
        </w:rPr>
        <w:t xml:space="preserve"/>
      </w:r>
      <w:r>
        <w:t xml:space="preserve"/>
      </w:r>
      <w:r>
        <w:t xml:space="preserve"/>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The decrease could reflect demyelination rather than a neuronal change,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Two controls argue against that explanation: the decrease is present in normal-appearing white matter, where the myelin markers are unchanged (δ = −0.482 at sample level, p = 0.005; −0.771 at donor level, p = 0.030), and it survives regression of TRPC1 on MBP, PLP1 and GFAP, although the adjusted difference is smaller and, at donor level, is not significant.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p>
      <w:pPr>
        <w:pStyle w:val="BodyText"/>
      </w:pPr>
      <w:r>
        <w:t xml:space="preserve">The same indicator characterises the comparison group, whose constituent disorders are not public. In this group the cryptic junction was common in cortex: it exceeded 1% of the reads at the exon-1 donor in 21 of 42 frontal and 22 of 35 temporal cortex samples, against 2 of 154 and 2 of 25 ALS samples and none of the controls of the same regions (Cliff’s δ versus controls = +0.73 and +0.71; q &lt; 10⁻⁶), whereas in cerebellum no comparison-group or ALS sample exceeded 1% (Supplementary Table S18b). This is consistent with the TDP-43 proteinopathy of frontotemporal lobar degeneration or limbic-predominant age-related TDP-43 encephalopathy, although the diagnoses cannot be checked. </w:t>
      </w:r>
      <w:r>
        <w:rPr>
          <w:i/>
        </w:rPr>
        <w:t xml:space="preserve">TRPC1</w:t>
      </w:r>
      <w:r>
        <w:t xml:space="preserve"> was nevertheless lower in these regions. Within the group, </w:t>
      </w:r>
      <w:r>
        <w:rPr>
          <w:i/>
        </w:rPr>
        <w:t xml:space="preserve">TRPC1</w:t>
      </w:r>
      <w:r>
        <w:t xml:space="preserve"> fell as cryptic inclusion rose (ρ = −0.50 in frontal and −0.40 in temporal cortex), but </w:t>
      </w:r>
      <w:r>
        <w:rPr>
          <w:i/>
        </w:rPr>
        <w:t xml:space="preserve">SNAP25</w:t>
      </w:r>
      <w:r>
        <w:t xml:space="preserve"> fell with it (ρ = −0.49 and −0.47), and with </w:t>
      </w:r>
      <w:r>
        <w:rPr>
          <w:i/>
        </w:rPr>
        <w:t xml:space="preserve">SNAP25</w:t>
      </w:r>
      <w:r>
        <w:t xml:space="preserve"> held constant no association remained (partial ρ = −0.24, p = 0.12, and 0.00, p = 0.98; Supplementary Table S18c).</w:t>
      </w:r>
    </w:p>
    <w:p>
      <w:pPr>
        <w:pStyle w:val="BodyText"/>
      </w:pPr>
      <w:r>
        <w:t xml:space="preserve">Across the cohort, </w:t>
      </w:r>
      <w:r>
        <w:rPr>
          <w:i/>
        </w:rPr>
        <w:t xml:space="preserve">TRPC1</w:t>
      </w:r>
      <w:r>
        <w:t xml:space="preserve"> therefore did not behave as a readout of TDP-43 loss of function. It rose in ALS brain regions, in which the cryptic junction exceeded 1% of reads in at most 14% of samples, was unchanged in ALS spinal cord, where it did so in 41–67%, and fell in the cortex of the comparison group, where it did so in 50–63%; within groups it followed neuronal content rather than the junction.</w:t>
      </w:r>
    </w:p>
    <w:bookmarkEnd w:id="37"/>
    <w:bookmarkEnd w:id="38"/>
    <w:bookmarkStart w:id="39" w:name="discussion"/>
    <w:p>
      <w:pPr>
        <w:pStyle w:val="Heading2"/>
        <w:rPr>
          <w:b w:val="1"/>
        </w:rPr>
        <w:jc w:val="left"/>
      </w:pPr>
      <w:r>
        <w:rPr>
          <w:b w:val="1"/>
        </w:rPr>
        <w:t xml:space="preserve">4. Discussion</w:t>
      </w:r>
    </w:p>
    <w:p>
      <w:pPr>
        <w:pStyle w:val="FirstParagraph"/>
        <w:jc w:val="both"/>
      </w:pPr>
      <w:r>
        <w:t>In one Fura-2 culture plate, TDP-43 knockdown wells had a lower calcium-readdition response. In an independent public SH-SY5Y model, adjusted STIM and ORAI transcript pools increased; these data generate hypotheses about the within-plate signal but do not establish a reproducible functional phenotype or its RNA mechanism. The transcript data do not show a simple loss of core SOCE mRNAs; they do not establish protein abundance. Channel composition, feedback inhibition, ER refilling and cellular bioenergetics remain possible interacting determinants. Together, the observations motivate testing calcium regulation and RNA processing in matched, independently replicated experiments.</w:t>
      </w:r>
    </w:p>
    <w:p>
      <w:pPr>
        <w:pStyle w:val="BodyText"/>
        <w:jc w:val="both"/>
      </w:pPr>
      <w:r>
        <w:rPr>
          <w:b/>
        </w:rPr>
        <w:t xml:space="preserve">Interpretation of the Fura-2 response. </w:t>
      </w:r>
      <w:r>
        <w:t xml:space="preserve">Within the single Fura-2 plate, mean ER release was 33% lower and mean readdition 84% lower; readdition remained 77% lower when each well was normalised to its own release. This pattern suggests that store release alone may not explain the smaller readdition response, but it needs replication in independent cultures.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CBARP and a small number of model-specific candidates. In the iPSC-derived motor neurons two panels survived matching, which is within what 24 nested combinations produce by chance.</w:t>
      </w:r>
    </w:p>
    <w:p>
      <w:pPr>
        <w:pStyle w:val="BodyText"/>
        <w:jc w:val="both"/>
      </w:pPr>
      <w:r>
        <w:rPr>
          <w:b/>
        </w:rPr>
        <w:t xml:space="preserve">Relevance to disease tissue. </w:t>
      </w:r>
      <w:r>
        <w:rPr>
          <w:i/>
        </w:rPr>
        <w:t xml:space="preserve">TRPC1</w:t>
      </w:r>
      <w:r>
        <w:t xml:space="preserve"> and </w:t>
      </w:r>
      <w:r>
        <w:rPr>
          <w:i/>
        </w:rPr>
        <w:t xml:space="preserve">SARAF</w:t>
      </w:r>
      <w:r>
        <w:t xml:space="preserve"> increased and </w:t>
      </w:r>
      <w:r>
        <w:rPr>
          <w:i/>
        </w:rPr>
        <w:t xml:space="preserve">CBARP</w:t>
      </w:r>
      <w:r>
        <w:t xml:space="preserve"> decreased in six ALS brain regions, matching the direction observed in the public SH-SY5Y model. </w:t>
      </w:r>
      <w:r>
        <w:rPr>
          <w:i/>
        </w:rPr>
        <w:t xml:space="preserve">TRPC1</w:t>
      </w:r>
      <w:r>
        <w:t xml:space="preserve"> remained unchanged in the well-powered cervical and lumbar spinal-cord comparisons and decreased in the neurological comparison cohorts. Among the disease cohorts surveyed, ALS alone showed a significant </w:t>
      </w:r>
      <w:r>
        <w:rPr>
          <w:i/>
        </w:rPr>
        <w:t xml:space="preserve">TRPC1</w:t>
      </w:r>
      <w:r>
        <w:t xml:space="preserve"> increase, concentrated in brain regions. The increase was attenuated but not removed by adjustment for neuronal and astrocytic markers, so it does not appear to be only a difference in cell composition; it did not, however, follow the cryptic </w:t>
      </w:r>
      <w:r>
        <w:rPr>
          <w:i/>
        </w:rPr>
        <w:t xml:space="preserve">STMN2</w:t>
      </w:r>
      <w:r>
        <w:t xml:space="preserve"> indicator of TDP-43 loss of function, and a comparison group that carried that indicator in cortex more often than the ALS samples showed the opposite change. The tissue increase is therefore a disease-associated candidate whose cause is not established, and the direction it shares with the cellular model does not by itself link the two.</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532120" cy="3038770"/>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532120" cy="3038770"/>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laboratory measurements after TARDBP knockdown: higher TRPC1, STIM1, ORAI1 and ATP2A3 mRNA and, in three wells per group on one culture plate, lower mean Ca²⁺-readdition and ER-release amplitudes. The Fura-2 comparison is descriptive.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wells per group from one culture plate, rather than independent biological experiments. Its 84% lower mean is a descriptive within-plate observation; the well-level Welch p value and confidence interval calculated previously cannot support a population-level inference. Independent culture experiments are required to estimate biological variability and test whether the response replicates.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well removes differences in store content but not their consequences, because a smaller release also means weaker STIM activation, so the ratio bounds rather than eliminates the contribution of the store.</w:t>
      </w:r>
    </w:p>
    <w:p>
      <w:r>
        <w:t xml:space="preserve">Bulk post-mortem expression can reflect cell composition, which regression on marker genes adjusts for only partially, and age, RNA integrity and post-mortem interval were not modelled as covariates. The disorders that make up the NYGC comparison group are not public, and the cryptic </w:t>
      </w:r>
      <w:r>
        <w:rPr>
          <w:i/>
        </w:rPr>
        <w:t xml:space="preserve">STMN2</w:t>
      </w:r>
      <w:r>
        <w:t xml:space="preserve"> junction indicates TDP-43 loss of function rather than a diagnosis.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In one SH-SY5Y culture-plate experiment, TDP-43 knockdown wells showed a lower Fura-2 calcium-readdition response. Independently, calcium-regulatory mRNA expression and splicing analyses identified candidate changes.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