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Yılmazᵃ, Yasemin Eraçᵃ,*</w:t>
      </w:r>
    </w:p>
    <w:p>
      <w:pPr>
        <w:pStyle w:val="BodyText"/>
      </w:pPr>
      <w:r>
        <w:t xml:space="preserve">ᵃ Department of Pharmacology, Faculty of Pharmacy, Ege University, Erzene Mahallesi, Ankara Caddesi No: 172/98, 35040 Bornova, İzmir, Türkiye</w:t>
      </w:r>
    </w:p>
    <w:p>
      <w:pPr>
        <w:pStyle w:val="BodyText"/>
      </w:pPr>
      <w:r>
        <w:t xml:space="preserve">* Corresponding author: Yasemin Eraç, yasemin.erac@ege.edu.tr</w:t>
      </w:r>
    </w:p>
    <w:bookmarkStart w:id="9" w:name="abstract"/>
    <w:p>
      <w:pPr>
        <w:pStyle w:val="Heading2"/>
      </w:pPr>
      <w:r>
        <w:t xml:space="preserve">Abstract</w:t>
      </w:r>
    </w:p>
    <w:p>
      <w:pPr>
        <w:pStyle w:val="FirstParagrap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SOCE response fell from 1.542 ± 0.282 to 0.245 ± 0.083 Δ(F340/F380) (p = 0.0115; three independent cultures per group). The ER Ca²⁺ release comparison was inconclusive. At 48 h, the WST-1 signal was 38.5% lower in four wells per group from one experiment.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Keuss et al., 2024),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NCBI SRA Toolkit v3.2.1 (NCBI, 2025),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 independent cultures per group).</w:t>
      </w:r>
    </w:p>
    <w:bookmarkEnd w:id="24"/>
    <w:bookmarkStart w:id="25" w:name="wst-1-assay"/>
    <w:p>
      <w:pPr>
        <w:pStyle w:val="Heading3"/>
      </w:pPr>
      <w:r>
        <w:t xml:space="preserve">2.15 WST-1 assay</w:t>
      </w:r>
    </w:p>
    <w:p>
      <w:pPr>
        <w:pStyle w:val="FirstParagraph"/>
      </w:pPr>
      <w:r>
        <w:t xml:space="preserve">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The available 48-h source data comprise four wells per group from one experiment; values are reported as mean ± SEM.</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otherwise.</w:t>
      </w:r>
    </w:p>
    <w:bookmarkEnd w:id="26"/>
    <w:bookmarkEnd w:id="27"/>
    <w:bookmarkStart w:id="38" w:name="results"/>
    <w:p>
      <w:pPr>
        <w:pStyle w:val="Heading2"/>
      </w:pPr>
      <w:r>
        <w:t xml:space="preserve">3. Results</w:t>
      </w:r>
    </w:p>
    <w:bookmarkStart w:id="28" w:name="Xdce535244417e96196a4234395656835aae8684"/>
    <w:p>
      <w:pPr>
        <w:pStyle w:val="Heading3"/>
      </w:pPr>
      <w:r>
        <w:t xml:space="preserve">3.1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1). ER Ca²⁺ release did not differ significantly between groups (control 0.268 ± 0.042 versus shTDP-43 0.180 ± 0.061 Δ(F340/F380); p = 0.299), whereas the readdition response decreased from 1.542 ± 0.282 to 0.245 ± 0.083 (p = 0.0115; n = 3 independent cultures per group). At 48 h, the WST-1 signal was 61.5 ± 0.8% of control, a 38.5% decrease (four wells per group, one experiment).</w:t>
      </w:r>
    </w:p>
    <w:p>
      <w:pPr>
        <w:pStyle w:val="BodyText"/>
      </w:pPr>
      <w:r>
        <w:t xml:space="preserve">The direction of the transcript changes and the direction of the functional response are therefore opposite. This is the central observation of the study.</w:t>
      </w:r>
    </w:p>
    <w:bookmarkEnd w:id="28"/>
    <w:bookmarkStart w:id="29" w:name="X65edd16614ad8b45159fdba0c7ef67d7861dbd8"/>
    <w:p>
      <w:pPr>
        <w:pStyle w:val="Heading3"/>
      </w:pPr>
      <w:r>
        <w:t xml:space="preserve">3.2 Transcript-family abundance contextualises the discordance</w:t>
      </w:r>
    </w:p>
    <w:p>
      <w:pPr>
        <w:pStyle w:val="FirstParagraph"/>
      </w:pPr>
      <w:r>
        <w:t xml:space="preserve">The independent public SH-SY5Y RNA-seq comparison provides transcript-level context for this laboratory observation (Figure 2;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Together, the changes in ORAI-family composition and SOCE regulators provide candidate molecular explanations for the reduced SOCE phenotype.</w:t>
      </w:r>
    </w:p>
    <w:bookmarkEnd w:id="29"/>
    <w:bookmarkStart w:id="30" w:name="Xc9e627d5dae3c5724b10d52d1a5f65dbe457452"/>
    <w:p>
      <w:pPr>
        <w:pStyle w:val="Heading3"/>
      </w:pPr>
      <w:r>
        <w:t xml:space="preserve">3.3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(Supplementary Figure S1).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pPr>
      <w:r>
        <w:t xml:space="preserve">3.4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1"/>
    <w:bookmarkStart w:id="32" w:name="X82f7279699e5de22b979458987a108be8a28cb2"/>
    <w:p>
      <w:pPr>
        <w:pStyle w:val="Heading3"/>
      </w:pPr>
      <w:r>
        <w:t xml:space="preserve">3.5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pPr>
      <w:r>
        <w:t xml:space="preserve">3.6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pPr>
      <w:r>
        <w:t xml:space="preserve">3.7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pPr>
      <w:r>
        <w:t xml:space="preserve">3.8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3;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bookmarkEnd w:id="36"/>
    <w:bookmarkStart w:id="37"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(Supplementary Figure S8A):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Supplementary Figure S8B,C).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The table contains 231 correlations: 121 for each proxy before exclusions, less the eleven trivial correlations of gene-level</w:t>
      </w:r>
      <w:r>
        <w:t xml:space="preserve"> </w:t>
      </w:r>
      <w:r>
        <w:rPr>
          <w:i/>
          <w:iCs/>
        </w:rPr>
        <w:t xml:space="preserve">STMN2</w:t>
      </w:r>
      <w:r>
        <w:t xml:space="preserve"> </w:t>
      </w:r>
      <w:r>
        <w:t xml:space="preserve">with itself. Benjamini–Hochberg correction was therefore applied to 220 informative correlations (110 per proxy). Of the 110 correlations with the junction-based marker, eight survived correction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7"/>
    <w:bookmarkEnd w:id="38"/>
    <w:bookmarkStart w:id="39" w:name="discussion"/>
    <w:p>
      <w:pPr>
        <w:pStyle w:val="Heading2"/>
      </w:pPr>
      <w:r>
        <w:t xml:space="preserve">4. Discussion</w:t>
      </w:r>
    </w:p>
    <w:p>
      <w:pPr>
        <w:pStyle w:val="FirstParagraph"/>
      </w:pPr>
      <w:r>
        <w:t xml:space="preserve">This study examined the relationship between TDP-43 knockdown, store-operated Ca²⁺ entry and calcium-regulatory RNA processing. The Fura-2 readdition response fell markedly, while several transcripts in the entry pathway increased.</w:t>
      </w:r>
    </w:p>
    <w:p>
      <w:pPr>
        <w:pStyle w:val="BodyText"/>
      </w:pPr>
      <w:r>
        <w:rPr>
          <w:b/>
          <w:bCs/>
        </w:rPr>
        <w:t xml:space="preserve">Functional and transcript responses.</w:t>
      </w:r>
      <w:r>
        <w:t xml:space="preserve"> </w:t>
      </w:r>
      <w:r>
        <w:t xml:space="preserve">TDP-43 knockdown reduced the Fura-2 SOCE-associated readdition response by approximately 84%. After adjustment for library composition, the transcript summaries show a larger ORAI pool shifting from</w:t>
      </w:r>
      <w:r>
        <w:t xml:space="preserve"> </w:t>
      </w:r>
      <w:r>
        <w:rPr>
          <w:i/>
          <w:iCs/>
        </w:rPr>
        <w:t xml:space="preserve">ORAI2</w:t>
      </w:r>
      <w:r>
        <w:t xml:space="preserve"> </w:t>
      </w:r>
      <w:r>
        <w:t xml:space="preserve">towards</w:t>
      </w:r>
      <w:r>
        <w:t xml:space="preserve"> </w:t>
      </w:r>
      <w:r>
        <w:rPr>
          <w:i/>
          <w:iCs/>
        </w:rPr>
        <w:t xml:space="preserve">ORAI3</w:t>
      </w:r>
      <w:r>
        <w:t xml:space="preserve">, modest decreases in</w:t>
      </w:r>
      <w:r>
        <w:t xml:space="preserve"> </w:t>
      </w:r>
      <w:r>
        <w:rPr>
          <w:i/>
          <w:iCs/>
        </w:rPr>
        <w:t xml:space="preserve">ORAI2</w:t>
      </w:r>
      <w:r>
        <w:t xml:space="preserve"> </w:t>
      </w:r>
      <w:r>
        <w:t xml:space="preserve">and</w:t>
      </w:r>
      <w:r>
        <w:t xml:space="preserve"> </w:t>
      </w:r>
      <w:r>
        <w:rPr>
          <w:i/>
          <w:iCs/>
        </w:rPr>
        <w:t xml:space="preserve">ATP2A2</w:t>
      </w:r>
      <w:r>
        <w:t xml:space="preserve">,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compatible with reduced entry (Palty et al., 2012; Yoast et al., 2020), whereas the</w:t>
      </w:r>
      <w:r>
        <w:t xml:space="preserve"> </w:t>
      </w:r>
      <w:r>
        <w:rPr>
          <w:i/>
          <w:iCs/>
        </w:rPr>
        <w:t xml:space="preserve">ORAI2</w:t>
      </w:r>
      <w:r>
        <w:t xml:space="preserve"> </w:t>
      </w:r>
      <w:r>
        <w:t xml:space="preserve">decrease could act in the opposite direction (Vaeth et al., 2017). These RNA changes suggest a change in pathway composition; their effects on channel function remain to be tested.</w:t>
      </w:r>
    </w:p>
    <w:p>
      <w:pPr>
        <w:pStyle w:val="BodyText"/>
      </w:pPr>
      <w:r>
        <w:t xml:space="preserve">The 48-h WST-1 signal was 38.5% lower after knockdown, consistent with lower metabolic activity and/or fewer viable cells. A broader change in cell state could therefore contribute to the Ca²⁺ phenotype. The ER-release mean was also lower (0.268 versus 0.180 Δ(F340/F380)), although the comparison was not significant (p = 0.299). Because WST-1 and Fura-2 were measured in separate preparations, these data cannot determine how much of the readdition decrease reflects general cell state.</w:t>
      </w:r>
    </w:p>
    <w:p>
      <w:pPr>
        <w:pStyle w:val="BodyText"/>
      </w:pPr>
      <w:r>
        <w:t xml:space="preserve">TARDBP knockdown was verified by RT-qPCR, without protein-level confirmation. The functional comparison used one TARDBP-targeting hairpin and three independent cultures per group. The non-targeting shRNA controls for lentiviral treatment; an independent targeting hairpin and rescue were not performed, leaving sequence-specific effects unresolved. At n = 3 per group, the t-test’s distributional assumption cannot be assessed reliably.</w:t>
      </w:r>
    </w:p>
    <w:p>
      <w:pPr>
        <w:pStyle w:val="BodyText"/>
      </w:pPr>
      <w:r>
        <w:rPr>
          <w:b/>
          <w:bCs/>
        </w:rPr>
        <w:t xml:space="preserve">RNA-processing candidates.</w:t>
      </w:r>
      <w:r>
        <w:t xml:space="preserve"> </w:t>
      </w:r>
      <w:r>
        <w:t xml:space="preserve">Annotation-free junction analysis recovered canonical TDP-43 cryptic targets but none of those controls in FUS or TAF15 knockdown. In the coverage-based APA analysis, the</w:t>
      </w:r>
      <w:r>
        <w:t xml:space="preserve"> </w:t>
      </w:r>
      <w:r>
        <w:rPr>
          <w:i/>
          <w:iCs/>
        </w:rPr>
        <w:t xml:space="preserve">STMN2</w:t>
      </w:r>
      <w:r>
        <w:t xml:space="preserve"> </w:t>
      </w:r>
      <w:r>
        <w:t xml:space="preserve">positive control shifted clearly in iPSC-derived motor neurons (intronic index +0.249), where SOCE-machinery genes moved little. The NMD analysis yielded no genome-wide significant gene.</w:t>
      </w:r>
      <w:r>
        <w:t xml:space="preserve"> </w:t>
      </w:r>
      <w:r>
        <w:rPr>
          <w:i/>
          <w:iCs/>
        </w:rPr>
        <w:t xml:space="preserve">CBARP</w:t>
      </w:r>
      <w:r>
        <w:t xml:space="preserve"> </w:t>
      </w:r>
      <w:r>
        <w:t xml:space="preserve">remains a reproducible splicing candidate; its possible NMD sensitivity requires isoform-level validation.</w:t>
      </w:r>
    </w:p>
    <w:p>
      <w:pPr>
        <w:pStyle w:val="BodyText"/>
      </w:pPr>
      <w:r>
        <w:rPr>
          <w:b/>
          <w:bCs/>
        </w:rPr>
        <w:t xml:space="preserve">Recurrent splicing changes.</w:t>
      </w:r>
      <w:r>
        <w:t xml:space="preserve"> </w:t>
      </w:r>
      <w:r>
        <w:rPr>
          <w:i/>
          <w:iCs/>
        </w:rPr>
        <w:t xml:space="preserve">CBARP</w:t>
      </w:r>
      <w:r>
        <w:t xml:space="preserve"> </w:t>
      </w:r>
      <w:r>
        <w:t xml:space="preserve">is the clearest candidate: the locus is affected in five of six datasets across two species, with a median |ΔPSI| of 0.37 and a median of 246 junction reads per event, independently confirmed by an annotation-free method. It also has the largest expression change among SOCE regulators. The direction of its splicing change differs between human and mouse models, so the locus involvement, rather than a single directional switch, recurs.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events are supported in the primary model. None has yet been linked causally to the functional response.</w:t>
      </w:r>
    </w:p>
    <w:p>
      <w:pPr>
        <w:pStyle w:val="BodyText"/>
      </w:pPr>
      <w:r>
        <w:t xml:space="preserve">Inclusion of the 24-nucleotide exon that converts STIM2 into the inhibitory STIM2.1/STIM2β isoform (Miederer et al., 2015; Rana et al., 2015) was higher after knockdown in five of six datasets. The pooled effect was negligible (ΔPSI +0.0013, 95% CI −0.022 to +0.024; p = 0.914), arguing against a substantial STIM2.1 switch in these datasets.</w:t>
      </w:r>
    </w:p>
    <w:p>
      <w:pPr>
        <w:pStyle w:val="BodyText"/>
      </w:pPr>
      <w:r>
        <w:rPr>
          <w:b/>
          <w:bCs/>
        </w:rPr>
        <w:t xml:space="preserve">Methodological implications.</w:t>
      </w:r>
      <w:r>
        <w:t xml:space="preserve"> </w:t>
      </w:r>
      <w:r>
        <w:t xml:space="preserve">Read support changed the interpretation of conventional splicing calls. At |ΔPSI| = 0.10, power was below 0.30 at the coverage typical of these datasets; a</w:t>
      </w:r>
      <w:r>
        <w:t xml:space="preserve"> </w:t>
      </w:r>
      <w:r>
        <w:rPr>
          <w:i/>
          <w:iCs/>
        </w:rPr>
        <w:t xml:space="preserve">TRPC1</w:t>
      </w:r>
      <w:r>
        <w:t xml:space="preserve"> </w:t>
      </w:r>
      <w:r>
        <w:t xml:space="preserve">event that passed standard thresholds failed replicate-level robustness checks (Supplementary Figure S2). Gene-panel enrichment also depended on the background: matching genes for event count and read support removed the apparent enrichment in two of three human models, leaving a nominal signal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differed between ALS and control samples in several regions, while</w:t>
      </w:r>
      <w:r>
        <w:t xml:space="preserve"> </w:t>
      </w:r>
      <w:r>
        <w:rPr>
          <w:i/>
          <w:iCs/>
        </w:rPr>
        <w:t xml:space="preserve">TRPC1</w:t>
      </w:r>
      <w:r>
        <w:t xml:space="preserve"> </w:t>
      </w:r>
      <w:r>
        <w:t xml:space="preserve">changed in the opposite direction in the comparison cohorts. These bulk-tissue associations do not establish a TDP-43-driven mechanism. The regional pattern is discordant: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increase, whereas</w:t>
      </w:r>
      <w:r>
        <w:t xml:space="preserve"> </w:t>
      </w:r>
      <w:r>
        <w:rPr>
          <w:i/>
          <w:iCs/>
        </w:rPr>
        <w:t xml:space="preserve">TRPC1</w:t>
      </w:r>
      <w:r>
        <w:t xml:space="preserve"> </w:t>
      </w:r>
      <w:r>
        <w:t xml:space="preserve">rises in cortical regions where cryptic inclusion is uncommon. Gene-level</w:t>
      </w:r>
      <w:r>
        <w:t xml:space="preserve"> </w:t>
      </w:r>
      <w:r>
        <w:rPr>
          <w:i/>
          <w:iCs/>
        </w:rPr>
        <w:t xml:space="preserve">STMN2</w:t>
      </w:r>
      <w:r>
        <w:t xml:space="preserve"> </w:t>
      </w:r>
      <w:r>
        <w:t xml:space="preserve">is confounded by neuronal content, and junction-level cryptic</w:t>
      </w:r>
      <w:r>
        <w:t xml:space="preserve"> </w:t>
      </w:r>
      <w:r>
        <w:rPr>
          <w:i/>
          <w:iCs/>
        </w:rPr>
        <w:t xml:space="preserve">STMN2</w:t>
      </w:r>
      <w:r>
        <w:t xml:space="preserve"> </w:t>
      </w:r>
      <w:r>
        <w:t xml:space="preserve">did not correlate with</w:t>
      </w:r>
      <w:r>
        <w:t xml:space="preserve"> </w:t>
      </w:r>
      <w:r>
        <w:rPr>
          <w:i/>
          <w:iCs/>
        </w:rPr>
        <w:t xml:space="preserve">TRPC1</w:t>
      </w:r>
      <w:r>
        <w:t xml:space="preserve"> </w:t>
      </w:r>
      <w:r>
        <w:t xml:space="preserve">within ALS regions. Cell composition, regional vulnerability and disease stage remain plausible explanations.</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39"/>
    <w:bookmarkStart w:id="40" w:name="conclusion"/>
    <w:p>
      <w:pPr>
        <w:pStyle w:val="Heading2"/>
      </w:pPr>
      <w:r>
        <w:t xml:space="preserve">5.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0"/>
    <w:bookmarkStart w:id="41"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pPr>
      <w:r>
        <w:rPr>
          <w:b/>
          <w:bCs/>
        </w:rPr>
        <w:t xml:space="preserve">Declaration of competing interests.</w:t>
      </w:r>
      <w:r>
        <w:t xml:space="preserve"> </w:t>
      </w:r>
      <w:r>
        <w:t xml:space="preserve">The authors declare no competing interests.</w:t>
      </w:r>
    </w:p>
    <w:p>
      <w:pPr>
        <w:pStyle w:val="BodyText"/>
      </w:pPr>
      <w:r>
        <w:rPr>
          <w:b/>
          <w:bCs/>
        </w:rPr>
        <w:t xml:space="preserve">Data availability.</w:t>
      </w:r>
      <w:r>
        <w:t xml:space="preserve"> </w:t>
      </w: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publicly accessible. A versioned Zenodo archive and the complete 23 GB rMATS output are planned for long-term preservation.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pPr>
      <w:r>
        <w:t xml:space="preserve">Declaration of generative AI and AI-assisted technologies in the manuscript preparation process</w:t>
      </w:r>
    </w:p>
    <w:p>
      <w:pPr>
        <w:pStyle w:val="FirstParagrap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pPr>
      <w:r>
        <w:t xml:space="preserve">Acknowledgements</w:t>
      </w:r>
    </w:p>
    <w:p>
      <w:pPr>
        <w:pStyle w:val="FirstParagrap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National Center for Biotechnology Information (NCBI). SRA Toolkit, version 3.2.1. 2025. https://github.com/ncbi/sra-tools/</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4"/>
    <w:bookmarkStart w:id="45" w:name="figures"/>
    <w:p>
      <w:pPr>
        <w:pStyle w:val="Heading2"/>
      </w:pPr>
      <w:r>
        <w:t xml:space="preserve">Figures</w:t>
      </w:r>
    </w:p>
    <w:p>
      <w:pPr>
        <w:pStyle w:val="FirstParagraph"/>
      </w:pPr>
      <w:r>
        <w:rPr>
          <w:b/>
          <w:bCs/>
        </w:rPr>
        <w:t xml:space="preserve">Figure 1. TDP-43 knockdown, calcium-related mRNAs and Ca²⁺ responses in SH-SY5Y cells.</w:t>
      </w:r>
      <w:r>
        <w:t xml:space="preserve"> </w:t>
      </w:r>
      <w:r>
        <w:t xml:space="preserve">(A) TARDBP mRNA in untransduced cells, non-targeting shRNA controls and shTDP-43 cells (n = 4 biological replicates per group; one-way ANOVA on log2 values with Tukey’s test; **** p &lt; 0.0001 for the indicated pair). (B) Relative mRNA of TRPC1, STIM1, ORAI1 and ATP2A3 (n = 4 biological replicates per group; two-tailed t-tests with Holm adjustment across the four targets; ** adjusted p &lt; 0.01, *** adjusted p &lt; 0.001). (C) WST-1 metabolic signal at 48 h (four wells per group from one experiment; descriptive summary only). (D) ER Ca²⁺ release after 10 µM cyclopiazonic acid in Ca²⁺-free medium. (E) Store-operated Ca²⁺ entry after readdition of 1.5 mM CaCl₂. Panels D and E show Δ(F340/F380) relative to the respective preceding baseline, with three independent cultures per group and two-tailed t-tests. Bars represent means ± SEM; dots are individual measurements. Panels D and E use separate labelled y-axes.</w:t>
      </w:r>
    </w:p>
    <w:p>
      <w:pPr>
        <w:pStyle w:val="BodyText"/>
      </w:pPr>
      <w:r>
        <w:rPr>
          <w:b/>
          <w:bCs/>
        </w:rPr>
        <w:t xml:space="preserve">Figure 2. Calcium-regulatory transcript profile in the independent public SH-SY5Y RNA-seq comparison.</w:t>
      </w:r>
      <w:r>
        <w:t xml:space="preserve"> </w:t>
      </w:r>
      <w:r>
        <w:t xml:space="preserve">(A)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 1. TPM values are descriptive transcript-abundance estimates and do not measure protein abundance or channel composition.</w:t>
      </w:r>
    </w:p>
    <w:p>
      <w:pPr>
        <w:pStyle w:val="BodyText"/>
      </w:pPr>
      <w:r>
        <w:rPr>
          <w:b/>
          <w:bCs/>
        </w:rPr>
        <w:t xml:space="preserve">Figure 3. ALS tissue expression of TRPC1, SARAF and CBARP by region.</w:t>
      </w:r>
      <w:r>
        <w:t xml:space="preserve"> </w:t>
      </w:r>
      <w:r>
        <w:t xml:space="preserve">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every panel of Figure 1.</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3.5.</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500" w:restart="continuous"/>
        </w:sectPr>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2026-09-23T18:26:49Z</dcterms:created>
  <dcterms:modified xsi:type="dcterms:W3CDTF">2026-09-23T18:26:49Z</dcterms:modified>
</cp:coreProperties>
</file>

<file path=docProps/custom.xml><?xml version="1.0" encoding="utf-8"?>
<Properties xmlns="http://schemas.openxmlformats.org/officeDocument/2006/custom-properties" xmlns:vt="http://schemas.openxmlformats.org/officeDocument/2006/docPropsVTypes"/>
</file>