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ry-figure-legends"/>
    <w:p>
      <w:pPr>
        <w:pStyle w:val="Heading1"/>
        <w:keepLines/>
        <w:spacing w:after="160" w:line="259" w:lineRule="auto"/>
      </w:pPr>
      <w:r>
        <w:rPr>
          <w:rFonts w:ascii="Arial" w:hAnsi="Arial"/>
          <w:sz w:val="30"/>
        </w:rPr>
        <w:t xml:space="preserve">Supplementary figure legends</w:t>
      </w:r>
    </w:p>
    <w:p>
      <w:pPr>
        <w:pStyle w:val="FirstParagraph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S1. Detection power for splicing events.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Simulated detection power for a three-versus-three design over observed coverage levels and true ΔPSI values from 0.05 to 0.30. The horizontal line marks 80% power and the vertical line marks |ΔPSI| = 0.10.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S2. Replicate-level assessment of a TRPC1 skipped-exon call.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S3. Replicate-level PSI for SOCE-related splicing candidates.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(A) STIMATE, (B) ORAI3, (C) STIM2 and (D) STIM1 skipped-exon events in the public SH-SY5Y RNA-seq comparison. Each dot is a library; short horizontal lines show group means. Text gives the rMATS junction-count ΔPSI and replicate-level bootstrap 95% interval (10,000 resamples). STIM1’s interval includes zero. These events were not measured in the laboratory experiments of Figure 1.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S4. Positive controls and specificity of the annotation-free junction screen.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S5. Exploratory NMD interaction.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S6. Coverage-based alternative-polyadenylation screen and STMN2 control.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S7. TRPC1 expression across neurological comparison cohorts.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pPr>
        <w:pStyle w:val="BodyText"/>
        <w:keepLines/>
        <w:spacing w:after="100" w:line="259" w:lineRule="auto"/>
      </w:pPr>
      <w:r>
        <w:rPr>
          <w:rFonts w:ascii="Arial" w:hAnsi="Arial"/>
          <w:b/>
          <w:bCs/>
          <w:sz w:val="21"/>
        </w:rPr>
        <w:t xml:space="preserve">Supplementary Figure S8. STMN2 expression and cryptic junction inclusion in ALS tissue.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bookmarkEnd w:id="9"/>
    <w:sectPr>
      <w:footnotePr>
        <w:numRestart w:val="eachSect"/>
      </w:footnotePr>
      <w:pgMar w:top="1008" w:bottom="1008" w:left="1152" w:right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2026-09-23T18:26:56Z</dcterms:created>
  <dcterms:modified xsi:type="dcterms:W3CDTF">2026-09-23T18:26:56Z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