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pPr>
      <w:r>
        <w:t xml:space="preserve">TDP-43 knockdown is associated with reduced store-operated Ca²⁺ entry and altered calcium-regulatory RNA profiles in SH-SY5Y cells</w:t>
      </w:r>
    </w:p>
    <w:p>
      <w:pPr>
        <w:pStyle w:val="FirstParagraph"/>
      </w:pPr>
      <w:r>
        <w:rPr>
          <w:b/>
          <w:bCs/>
        </w:rPr>
        <w:t xml:space="preserve">Elmasnur Yılmazᵃ, Yasemin Eraçᵃ,*</w:t>
      </w:r>
    </w:p>
    <w:p>
      <w:pPr>
        <w:pStyle w:val="BodyText"/>
      </w:pPr>
      <w:r>
        <w:t xml:space="preserve">ᵃ Department of Pharmacology, Faculty of Pharmacy, Ege University, Erzene Mahallesi, Ankara Caddesi No: 172/98, 35040 Bornova, İzmir, Türkiye</w:t>
      </w:r>
    </w:p>
    <w:p>
      <w:pPr>
        <w:pStyle w:val="BodyText"/>
      </w:pPr>
      <w:r>
        <w:t xml:space="preserve">* Corresponding author: Yasemin Eraç, yasemin.erac@ege.edu.tr</w:t>
      </w:r>
    </w:p>
    <w:bookmarkStart w:id="9" w:name="abstract"/>
    <w:p>
      <w:pPr>
        <w:pStyle w:val="Heading2"/>
      </w:pPr>
      <w:r>
        <w:t xml:space="preserve">Abstract</w:t>
      </w:r>
    </w:p>
    <w:p>
      <w:pPr>
        <w:pStyle w:val="FirstParagrap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 SOCE response fell from 1.542 ± 0.282 to 0.245 ± 0.083 Δ(F340/F380) (p = 0.0115; three measurements per group). The ER Ca²⁺ release comparison was inconclusive (p = 0.299). At 48 h, the WST-1 signal was 38.5% lower in four wells per group from one experiment.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brain, TRPC1 and SARAF increased and CBARP decreased in six of seven regions, but these tissue associations could not be attributed to TDP-43 loss. TDP-43 knockdown is associated with reduced SOCE and altered calcium-regulatory RNA profiles, without evidence for a single causal RNA event.</w:t>
      </w:r>
    </w:p>
    <w:p>
      <w:pPr>
        <w:pStyle w:val="BodyText"/>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pPr>
      <w:r>
        <w:t xml:space="preserve">1. Introduction</w:t>
      </w:r>
    </w:p>
    <w:p>
      <w:pPr>
        <w:pStyle w:val="FirstParagrap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pPr>
      <w:r>
        <w:t xml:space="preserve">2. Materials and Methods</w:t>
      </w:r>
    </w:p>
    <w:bookmarkStart w:id="11" w:name="public-rna-seq-datasets"/>
    <w:p>
      <w:pPr>
        <w:pStyle w:val="Heading3"/>
      </w:pPr>
      <w:r>
        <w:t xml:space="preserve">2.1 Public RNA-seq datasets</w:t>
      </w:r>
    </w:p>
    <w:p>
      <w:pPr>
        <w:pStyle w:val="FirstParagrap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pPr>
      <w:r>
        <w:t xml:space="preserve">2.2 Differential expression</w:t>
      </w:r>
    </w:p>
    <w:p>
      <w:pPr>
        <w:pStyle w:val="FirstParagrap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pPr>
      <w:r>
        <w:t xml:space="preserve">2.3 Alternative splicing and robustness assessment</w:t>
      </w:r>
    </w:p>
    <w:p>
      <w:pPr>
        <w:pStyle w:val="FirstParagrap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pPr>
      <w:r>
        <w:t xml:space="preserve">Detection power was estimated by simulation over the observed coverage distribution for a 3 + 3 design.</w:t>
      </w:r>
    </w:p>
    <w:bookmarkEnd w:id="13"/>
    <w:bookmarkStart w:id="14" w:name="isoform-usage"/>
    <w:p>
      <w:pPr>
        <w:pStyle w:val="Heading3"/>
      </w:pPr>
      <w:r>
        <w:t xml:space="preserve">2.4 Isoform usage</w:t>
      </w:r>
    </w:p>
    <w:p>
      <w:pPr>
        <w:pStyle w:val="FirstParagrap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pPr>
      <w:r>
        <w:t xml:space="preserve">2.5 Annotation-free junction-level analysis</w:t>
      </w:r>
    </w:p>
    <w:p>
      <w:pPr>
        <w:pStyle w:val="FirstParagrap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pPr>
      <w:r>
        <w:t xml:space="preserve">2.6 Aberrant splicing outlier detection</w:t>
      </w:r>
    </w:p>
    <w:p>
      <w:pPr>
        <w:pStyle w:val="FirstParagrap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pPr>
      <w:r>
        <w:t xml:space="preserve">2.7 Alternative polyadenylation</w:t>
      </w:r>
    </w:p>
    <w:p>
      <w:pPr>
        <w:pStyle w:val="FirstParagrap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Excluding reference skips matters for an intronic index: counted as depth, the skips of spliced reads fill intronic windows, and in SH-SY5Y they would raise the</w:t>
      </w:r>
      <w:r>
        <w:t xml:space="preserve"> </w:t>
      </w:r>
      <w:r>
        <w:rPr>
          <w:i/>
          <w:iCs/>
        </w:rPr>
        <w:t xml:space="preserve">STMN2</w:t>
      </w:r>
      <w:r>
        <w:t xml:space="preserve"> </w:t>
      </w:r>
      <w:r>
        <w:t xml:space="preserve">intron 2 index difference from +0.145 to +0.489.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pPr>
      <w:r>
        <w:t xml:space="preserve">2.8 Nonsense-mediated decay inhibition</w:t>
      </w:r>
    </w:p>
    <w:p>
      <w:pPr>
        <w:pStyle w:val="FirstParagraph"/>
      </w:pPr>
      <w:r>
        <w:t xml:space="preserve">Gene-level counts were obtained from GSE307054 </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(Sinha et al., 2025; i3Neurons;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w:t>
      </w:r>
    </w:p>
    <w:p>
      <w:pPr>
        <w:pStyle w:val="BodyText"/>
      </w:pPr>
      <w:r>
        <w:rPr>
          <w:i/>
          <w:iCs/>
        </w:rPr>
        <w:t xml:space="preserve">interaction(c) = [log2(TDP-43 knockdown + NMD inhibition c) − log2(TDP-43 knockdown)] − [log2(control + NMD inhibition c) − log2(control)]</w:t>
      </w:r>
    </w:p>
    <w:p>
      <w:pPr>
        <w:pStyle w:val="BodyText"/>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pPr>
      <w:r>
        <w:t xml:space="preserve">2.9 Ca²⁺ gene panels and enrichment testing</w:t>
      </w:r>
    </w:p>
    <w:p>
      <w:pPr>
        <w:pStyle w:val="FirstParagrap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w:t>
      </w:r>
    </w:p>
    <w:p>
      <w:pPr>
        <w:pStyle w:val="BodyText"/>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pPr>
      <w:r>
        <w:t xml:space="preserve">2.10 Transcript-family abundance</w:t>
      </w:r>
    </w:p>
    <w:p>
      <w:pPr>
        <w:pStyle w:val="FirstParagrap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pPr>
      <w:r>
        <w:t xml:space="preserve">2.11 Patient tissue and cross-disease comparison</w:t>
      </w:r>
    </w:p>
    <w:p>
      <w:pPr>
        <w:pStyle w:val="FirstParagrap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pPr>
      <w:r>
        <w:t xml:space="preserve">Cell-composition markers (GFAP, AIF1, SNAP25, RBFOX3, MBP, PLP1) were carried through all comparisons.</w:t>
      </w:r>
    </w:p>
    <w:p>
      <w:pPr>
        <w:pStyle w:val="BodyText"/>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pPr>
      <w:r>
        <w:t xml:space="preserve">2.12 Cell culture and TDP-43 knockdown</w:t>
      </w:r>
    </w:p>
    <w:p>
      <w:pPr>
        <w:pStyle w:val="FirstParagrap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pPr>
      <w:r>
        <w:t xml:space="preserve">2.13 RT-qPCR</w:t>
      </w:r>
    </w:p>
    <w:p>
      <w:pPr>
        <w:pStyle w:val="FirstParagrap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biological replicates per group;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pPr>
      <w:r>
        <w:t xml:space="preserve">2.14 Cytosolic Ca²⁺ measurement</w:t>
      </w:r>
    </w:p>
    <w:p>
      <w:pPr>
        <w:pStyle w:val="FirstParagraph"/>
      </w:pPr>
      <w:r>
        <w:t xml:space="preserve">Non-targeting shRNA control and shTDP-43 cells were measured 72 h after transduction; the day-5 endpoint described above applied to RNA collection from the separate RT-qPCR cultures. Cells were seeded in 24-well plates at 40,000 cells per well.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added to a final concentration of 1.5 mM and the subsequent rise was recorded as store-operated Ca²⁺ entry (SOCE), following the established depletion–readdition paradigm. Both phases were quantified as Δ(F340/F380) relative to the respective preceding baseline (three measurements per group).</w:t>
      </w:r>
    </w:p>
    <w:bookmarkEnd w:id="24"/>
    <w:bookmarkStart w:id="25" w:name="wst-1-assay"/>
    <w:p>
      <w:pPr>
        <w:pStyle w:val="Heading3"/>
      </w:pPr>
      <w:r>
        <w:t xml:space="preserve">2.15 WST-1 assay</w:t>
      </w:r>
    </w:p>
    <w:p>
      <w:pPr>
        <w:pStyle w:val="FirstParagraph"/>
      </w:pPr>
      <w:r>
        <w:t xml:space="preserve">Transduced cells were allocated to 96-well plates, and cellular metabolic activity was assessed 48 h after seeding with the WST-1 assay (Premix WST-1, Takara Bio, cat. no. MK400). Cells were seeded at 10,000 per well in 100 µL in 96-well plates;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The available 48-h source data comprise four wells per group from one experiment; values are reported as mean ± SEM.</w:t>
      </w:r>
    </w:p>
    <w:bookmarkEnd w:id="25"/>
    <w:bookmarkStart w:id="26" w:name="statistics"/>
    <w:p>
      <w:pPr>
        <w:pStyle w:val="Heading3"/>
      </w:pPr>
      <w:r>
        <w:t xml:space="preserve">2.16 Statistics</w:t>
      </w:r>
    </w:p>
    <w:p>
      <w:pPr>
        <w:pStyle w:val="FirstParagrap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the two Fura-2 comparisons used two-tailed Student’s t-tests (GraphPad Prism 10). WST-1 wells were summarised descriptively without an inferential test. Significance was set at adjusted p &lt; 0.05 for the four-target RT-qPCR family and p &lt; 0.05 for the other inferential analyses.</w:t>
      </w:r>
    </w:p>
    <w:bookmarkEnd w:id="26"/>
    <w:bookmarkEnd w:id="27"/>
    <w:bookmarkStart w:id="38" w:name="results"/>
    <w:p>
      <w:pPr>
        <w:pStyle w:val="Heading2"/>
      </w:pPr>
      <w:r>
        <w:t xml:space="preserve">3. Results</w:t>
      </w:r>
    </w:p>
    <w:bookmarkStart w:id="28" w:name="Xdce535244417e96196a4234395656835aae8684"/>
    <w:p>
      <w:pPr>
        <w:pStyle w:val="Heading3"/>
      </w:pPr>
      <w:r>
        <w:t xml:space="preserve">3.1 TDP-43 knockdown reduces SOCE despite increased transcript levels of SOCE components</w:t>
      </w:r>
    </w:p>
    <w:p>
      <w:pPr>
        <w:pStyle w:val="FirstParagraph"/>
      </w:pPr>
      <w:r>
        <w:t xml:space="preserve">Lentiviral shRNA reduced TARDBP mRNA by 94.4% relative to the non-targeting shRNA control and 94.8% relative to non-transduced cells (one-way ANOVA with Tukey’s test, p &lt; 0.0001, n = 4).</w:t>
      </w:r>
    </w:p>
    <w:p>
      <w:pPr>
        <w:pStyle w:val="BodyText"/>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biological replicates per group; one-way ANOVA on log2 values with Tukey’s test; **** p &lt; 0.0001 for the indicated pair). (B) Relative mRNA of TRPC1, STIM1, ORAI1 and ATP2A3 (n = 4 biological replicates per group; two-tailed t-tests with Holm adjustment across the four targets). (C) WST-1 metabolic signal at 48 h (four wells per group from one experiment; descriptive summary only). Bars represent means ± SEM; dots are individual measurements.</w:t>
      </w:r>
    </w:p>
    <w:p>
      <w:pPr>
        <w:pStyle w:val="BodyText"/>
      </w:pPr>
      <w:r>
        <w:t xml:space="preserve">Functionally, however, the SOCE response fell markedly (Figure 2). The ER Ca²⁺-release means were 0.268 ± 0.042 and 0.180 ± 0.061 Δ(F340/F380) in the control and shTDP-43 groups, respectively (p = 0.299; two-tailed Student’s t-test). The readdition-response means were 1.542 ± 0.282 and 0.245 ± 0.083, respectively (p = 0.0115; two-tailed Student’s t-test; three measurements per group). At 48 h, the WST-1 signal was 61.5 ± 0.8% of control, a 38.5% decrease (four wells per group, one experiment).</w:t>
      </w:r>
    </w:p>
    <w:p>
      <w:pPr>
        <w:pStyle w:val="BodyText"/>
      </w:pPr>
      <w:r>
        <w:t xml:space="preserve">The direction of the transcript changes and the direction of the functional response are therefore opposite. This is the central observation of the study.</w:t>
      </w:r>
    </w:p>
    <w:p>
      <w:pPr>
        <w:keepNext/>
        <w:pageBreakBefore/>
        <w:spacing w:before="0" w:after="140"/>
        <w:jc w:val="center"/>
      </w:pPr>
      <w:r>
        <w:drawing>
          <wp:inline>
            <wp:extent cx="5532120" cy="5016929"/>
            <wp:docPr id="2" name="Picture 2"/>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5016929"/>
                    </a:xfrm>
                    <a:prstGeom prst="rect"/>
                  </pic:spPr>
                </pic:pic>
              </a:graphicData>
            </a:graphic>
          </wp:inline>
        </w:drawing>
      </w:r>
    </w:p>
    <w:p>
      <w:pPr>
        <w:pStyle w:val="Caption"/>
        <w:keepLines/>
        <w:spacing w:line="269" w:lineRule="auto" w:after="200"/>
      </w:pPr>
      <w:r>
        <w:rPr>
          <w:rFonts w:ascii="Times New Roman" w:hAnsi="Times New Roman"/>
          <w:b/>
          <w:sz w:val="19"/>
        </w:rPr>
        <w:t>Figure 2.</w:t>
      </w:r>
      <w:r>
        <w:rPr>
          <w:rFonts w:ascii="Times New Roman" w:hAnsi="Times New Roman"/>
          <w:sz w:val="19"/>
        </w:rPr>
        <w:t xml:space="preserve"> Fura-2 calcium responses following TDP-43 knockdown in SH-SY5Y cells. (A, B) Representative traces from non-targeting shRNA control and shTDP-43 cells. CPA (10 µM) and CaCl₂ (1.5 mM) additions are indicated. (C) ER Ca²⁺ release after CPA (p = 0.299). (D) Ca²⁺ readdition response (p = 0.0115). Panels C and D show individual measurements and mean ± SEM (three measurements per group; two-tailed Student’s t-tests). The traces illustrate individual recordings; group amplitudes were calculated from the original Prism measurements.</w:t>
      </w:r>
    </w:p>
    <w:bookmarkEnd w:id="28"/>
    <w:bookmarkStart w:id="29" w:name="X65edd16614ad8b45159fdba0c7ef67d7861dbd8"/>
    <w:p>
      <w:pPr>
        <w:pStyle w:val="Heading3"/>
      </w:pPr>
      <w:r>
        <w:t xml:space="preserve">3.2 Transcript-family abundance contextualises the discordance</w:t>
      </w:r>
    </w:p>
    <w:p>
      <w:pPr>
        <w:pStyle w:val="FirstParagraph"/>
      </w:pPr>
      <w:r>
        <w:t xml:space="preserve">The independent public SH-SY5Y RNA-seq comparison provides transcript-level context for this laboratory observation (Figure 3; Table 4).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fivefold in adjusted TPM (DESeq2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pPr>
      <w:r>
        <w:t xml:space="preserve">3.3 TDP-43 depletion alters splicing across Ca²⁺ homeostasis genes, but most individual events are underpowered</w:t>
      </w:r>
    </w:p>
    <w:p>
      <w:pPr>
        <w:pStyle w:val="FirstParagrap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pPr>
      <w:r>
        <w:t xml:space="preserve">3.4 Robust splicing changes concentrate in SOCE regulators</w:t>
      </w:r>
    </w:p>
    <w:p>
      <w:pPr>
        <w:pStyle w:val="FirstParagraph"/>
      </w:pPr>
      <w:r>
        <w:t xml:space="preserve">Applying the robustness criteria to the twelve SOCE-machinery genes examined event by event (Methods 2.3) identified a small set of events supported by adequate coverage and bootstrap intervals excluding zero (Table 2, Supplementary Figure S3).</w:t>
      </w:r>
    </w:p>
    <w:p>
      <w:pPr>
        <w:pStyle w:val="BodyText"/>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32 events met both the threshold and the coverage criteria in five of the six datasets (iPSC colonies, mouse striatum, SH-SY5Y, C2C12 and NSC34)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3.5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bookmarkEnd w:id="31"/>
    <w:bookmarkStart w:id="32" w:name="X82f7279699e5de22b979458987a108be8a28cb2"/>
    <w:p>
      <w:pPr>
        <w:pStyle w:val="Heading3"/>
      </w:pPr>
      <w:r>
        <w:t xml:space="preserve">3.5 Annotation-free analysis recovers cryptic exons genome-wide but finds no high-confidence event in the SOCE machinery of the primary model</w:t>
      </w:r>
    </w:p>
    <w:p>
      <w:pPr>
        <w:pStyle w:val="FirstParagrap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 Supplementary Table S12).</w:t>
      </w:r>
    </w:p>
    <w:p>
      <w:pPr>
        <w:pStyle w:val="BodyText"/>
      </w:pPr>
      <w:r>
        <w:t xml:space="preserve">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they are the ratio of two call counts from analyses with different sample sizes and different numbers of tests, but they show that call counts are not interpretable on their own. In the remaining eight comparisons (the two SH-SY5Y doses, the three iPSC-derived motor neuron comparisons, K562 poly(A)+ mRNA, C2C12 and NSC34),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This was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(Supplementary Figure S4B).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2"/>
    <w:bookmarkStart w:id="33" w:name="X95f51b20e2575a9f68bf5a1f46ea9d9988a1c39"/>
    <w:p>
      <w:pPr>
        <w:pStyle w:val="Heading3"/>
      </w:pPr>
      <w:r>
        <w:t xml:space="preserve">3.6 Exploratory NMD interactions prioritise CBARP but do not confirm an NMD target</w:t>
      </w:r>
    </w:p>
    <w:p>
      <w:pPr>
        <w:pStyle w:val="FirstParagrap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pPr>
      <w:r>
        <w:t xml:space="preserve">3.7 A coverage-based APA screen yields candidate gradients but no confirmed APA event in the SOCE machinery</w:t>
      </w:r>
    </w:p>
    <w:p>
      <w:pPr>
        <w:pStyle w:val="FirstParagrap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pPr>
      <w:r>
        <w:t xml:space="preserve">In the primary SH-SY5Y model the positive control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(Supplementary Figure S6B).</w:t>
      </w:r>
    </w:p>
    <w:p>
      <w:pPr>
        <w:pStyle w:val="BodyText"/>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2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2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This comparison has only two replicates per group, so the enumerated bootstrap has sixteen draws and its intervals are coarse; the point estimates, not the intervals, carry the information.</w:t>
      </w:r>
    </w:p>
    <w:p>
      <w:pPr>
        <w:pStyle w:val="BodyText"/>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pPr>
      <w:r>
        <w:t xml:space="preserve">Taken together, these analyses support altered calcium-related RNA profiles but do not establish whether any SOCE-machinery gene is a direct target of cryptic splicing, APA or NMD-coupled degradation.</w:t>
      </w:r>
    </w:p>
    <w:bookmarkEnd w:id="34"/>
    <w:bookmarkStart w:id="35" w:name="X296809a5d7cffea79e21b8aac279c8835f73ff1"/>
    <w:p>
      <w:pPr>
        <w:pStyle w:val="Heading3"/>
      </w:pPr>
      <w:r>
        <w:t xml:space="preserve">3.8 Enrichment of splicing changes in Ca²⁺ genes is model-dependent</w:t>
      </w:r>
    </w:p>
    <w:p>
      <w:pPr>
        <w:pStyle w:val="FirstParagraph"/>
      </w:pPr>
      <w:r>
        <w:t xml:space="preserve">Testing whether Ca²⁺ genes are enriched for splicing changes required care, because power to detect an event scales with gene length, exon number and expression, and Ca²⁺ channel genes are extreme on all three.</w:t>
      </w:r>
    </w:p>
    <w:p>
      <w:pPr>
        <w:pStyle w:val="BodyText"/>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pPr>
      <w:r>
        <w:t xml:space="preserve">3.9 TRPC1, SARAF and CBARP differ across ALS and neurological comparison cohorts</w:t>
      </w:r>
    </w:p>
    <w:p>
      <w:pPr>
        <w:pStyle w:val="FirstParagraph"/>
      </w:pPr>
      <w:r>
        <w:t xml:space="preserve">We next asked whether these transcript-level changes are present in patient tissue (Figure 4; Table 5).</w:t>
      </w:r>
    </w:p>
    <w:p>
      <w:pPr>
        <w:pStyle w:val="BodyText"/>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pPr>
      <w:r>
        <w:t xml:space="preserve">Three independent cohorts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multiple sclerosis donors versus five control donors, δ = −0.771, uncorrected p = 0.030). In the full GSE138614 sample-level comparison, regression of TRPC1 on MBP, PLP1 and GFAP attenuated the unadjusted difference from δ = −0.562 to an adjusted effect of δ = −0.418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pPr>
      <w:r>
        <w:rPr>
          <w:rFonts w:ascii="Times New Roman" w:hAnsi="Times New Roman"/>
          <w:b/>
          <w:sz w:val="19"/>
        </w:rPr>
        <w:t>Figure 4.</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Heading3"/>
      </w:pPr>
      <w:r>
        <w:t xml:space="preserve">3.10 A junction-based marker of TDP-43 dysfunction does not correlate with TRPC1 within ALS regions</w:t>
      </w:r>
    </w:p>
    <w:p>
      <w:pPr>
        <w:pStyle w:val="FirstParagrap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is inadequate on its own because in bulk tissue it also strongly tracks neuronal content.</w:t>
      </w:r>
    </w:p>
    <w:p>
      <w:pPr>
        <w:pStyle w:val="BodyText"/>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(Supplementary Figure S8A):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 Supplementary Table S8).</w:t>
      </w:r>
    </w:p>
    <w:p>
      <w:pPr>
        <w:pStyle w:val="BodyText"/>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Supplementary Figure S8B,C).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The table contains 231 correlations: 121 for each proxy before exclusions, less the eleven trivial correlations of gene-level</w:t>
      </w:r>
      <w:r>
        <w:t xml:space="preserve"> </w:t>
      </w:r>
      <w:r>
        <w:rPr>
          <w:i/>
          <w:iCs/>
        </w:rPr>
        <w:t xml:space="preserve">STMN2</w:t>
      </w:r>
      <w:r>
        <w:t xml:space="preserve"> </w:t>
      </w:r>
      <w:r>
        <w:t xml:space="preserve">with itself. Benjamini–Hochberg correction was therefore applied to 220 informative correlations (110 per proxy). Of the 110 correlations with the junction-based marker, eight survived correction (Supplementary Table S9): gene-level</w:t>
      </w:r>
      <w:r>
        <w:t xml:space="preserve"> </w:t>
      </w:r>
      <w:r>
        <w:rPr>
          <w:i/>
          <w:iCs/>
        </w:rPr>
        <w:t xml:space="preserve">STMN2</w:t>
      </w:r>
      <w:r>
        <w:t xml:space="preserve"> </w:t>
      </w:r>
      <w:r>
        <w:t xml:space="preserve">fell with cryptic inclusion (cervical cord ρ = −0.244, q = 0.011),</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0.028 and 0.023); all three were internally consistent. Additional associations involved</w:t>
      </w:r>
      <w:r>
        <w:t xml:space="preserve"> </w:t>
      </w:r>
      <w:r>
        <w:rPr>
          <w:i/>
          <w:iCs/>
        </w:rPr>
        <w:t xml:space="preserve">ATP2A2</w:t>
      </w:r>
      <w:r>
        <w:t xml:space="preserve"> </w:t>
      </w:r>
      <w:r>
        <w:t xml:space="preserve">(medial motor cortex, −0.299, q = 0.015),</w:t>
      </w:r>
      <w:r>
        <w:t xml:space="preserve"> </w:t>
      </w:r>
      <w:r>
        <w:rPr>
          <w:i/>
          <w:iCs/>
        </w:rPr>
        <w:t xml:space="preserve">STIM1</w:t>
      </w:r>
      <w:r>
        <w:t xml:space="preserve"> </w:t>
      </w:r>
      <w:r>
        <w:t xml:space="preserve">(lumbar cord, −0.280, q = 0.0021),</w:t>
      </w:r>
      <w:r>
        <w:t xml:space="preserve"> </w:t>
      </w:r>
      <w:r>
        <w:rPr>
          <w:i/>
          <w:iCs/>
        </w:rPr>
        <w:t xml:space="preserve">SARAF</w:t>
      </w:r>
      <w:r>
        <w:t xml:space="preserve"> </w:t>
      </w:r>
      <w:r>
        <w:t xml:space="preserve">(lumbar cord, −0.194, q = 0.049) and</w:t>
      </w:r>
      <w:r>
        <w:t xml:space="preserve"> </w:t>
      </w:r>
      <w:r>
        <w:rPr>
          <w:i/>
          <w:iCs/>
        </w:rPr>
        <w:t xml:space="preserve">ORAI1</w:t>
      </w:r>
      <w:r>
        <w:t xml:space="preserve"> </w:t>
      </w:r>
      <w:r>
        <w:t xml:space="preserve">(+0.278 in cervical and +0.234 in lumbar cord, q = 0.0031 and 0.013). Of these five correlations in four SOCE genes, three run in the direction the cellular model predicts (the</w:t>
      </w:r>
      <w:r>
        <w:t xml:space="preserve"> </w:t>
      </w:r>
      <w:r>
        <w:rPr>
          <w:i/>
          <w:iCs/>
        </w:rPr>
        <w:t xml:space="preserve">ATP2A2</w:t>
      </w:r>
      <w:r>
        <w:t xml:space="preserve"> </w:t>
      </w:r>
      <w:r>
        <w:t xml:space="preserve">fall and both</w:t>
      </w:r>
      <w:r>
        <w:t xml:space="preserve"> </w:t>
      </w:r>
      <w:r>
        <w:rPr>
          <w:i/>
          <w:iCs/>
        </w:rPr>
        <w:t xml:space="preserve">ORAI1</w:t>
      </w:r>
      <w:r>
        <w:t xml:space="preserve"> </w:t>
      </w:r>
      <w:r>
        <w:t xml:space="preserve">rises)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7"/>
    <w:bookmarkEnd w:id="38"/>
    <w:bookmarkStart w:id="39" w:name="discussion"/>
    <w:p>
      <w:pPr>
        <w:pStyle w:val="Heading2"/>
      </w:pPr>
      <w:r>
        <w:t xml:space="preserve">4. Discussion</w:t>
      </w:r>
    </w:p>
    <w:p>
      <w:pPr>
        <w:pStyle w:val="FirstParagraph"/>
      </w:pPr>
      <w:r>
        <w:t>This study identifies a marked reduction in the Fura-2 Ca²⁺ readdition response after TDP-43 knockdown and connects that functional phenotype to coordinated changes in calcium-regulatory transcripts. The central feature is a mismatch between abundance and function: the adjusted STIM and ORAI transcript pools increased, yet the readdition response fell by approximately 84%. The data therefore do not support simple loss of the core SOCE machinery. They instead point to altered channel composition, feedback inhibition, ER refilling and cellular bioenergetics as interacting determinants. Across independent datasets, canonical TDP-43 RNA targets behaved as expected, whereas calcium-gene processing changes were selective and context dependent. This combination defines a multilayered calcium-homeostasis phenotype rather than uniform suppression of one channel or one RNA-processing event.</w:t>
      </w:r>
    </w:p>
    <w:p>
      <w:pPr>
        <w:pStyle w:val="BodyText"/>
      </w:pPr>
      <w:r>
        <w:rPr>
          <w:b/>
        </w:rPr>
        <w:t xml:space="preserve">Architecture of the functional phenotype. </w:t>
      </w:r>
      <w:r>
        <w:t xml:space="preserve">The ER-release mean fell from 0.268 to 0.180 Δ(F340/F380), while the subsequent readdition response showed a much larger proportional decrease. A smaller releasable store may therefore contribute, but it is unlikely to account on its own for the magnitude of the readdition phenotype.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fell from 77% to 53%, and SARAF increased. Channel output depends on the relative abundance, assembly and localization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The discordance between a larger transcript pool and lower entry therefore favours a composition or regulatory mechanism over simple transcript insufficiency.</w:t>
      </w:r>
    </w:p>
    <w:p>
      <w:pPr>
        <w:pStyle w:val="BodyText"/>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shorter or smaller readdition response,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These comparisons make the observed transcript pattern mechanistically informative without assigning the phenotype to one component: the likely variable is the assembled channel and its feedback kinetics in this cellular background.</w:t>
      </w:r>
    </w:p>
    <w:p>
      <w:pPr>
        <w:pStyle w:val="BodyText"/>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The contrast is biologically meaningful because astroglial hyperactive entry, neuronal-like cell entry failure and ER-store depletion can all disturb calcium signalling through different routes. Genetic lesion, cell identity, differentiation state and compensatory timing are therefore likely to determine the direction of the measured phenotype. The present result establishes a TDP-43 loss-associated response in SH-SY5Y cells and complements, rather than reproduces, the SOD1 astrocyte phenotype.</w:t>
      </w:r>
    </w:p>
    <w:p>
      <w:pPr>
        <w:pStyle w:val="BodyText"/>
      </w:pPr>
      <w:r>
        <w:rPr>
          <w:b/>
        </w:rPr>
        <w:t xml:space="preserve">Metabolic and organelle coupling. </w:t>
      </w:r>
      <w:r>
        <w:t xml:space="preserve">The 48-h WST-1 signal was 38.5% lower after knockdown. The approximately 84% reduction in the Ca²⁺ readdition response was more than twice this proportional change, arguing against simple scaling of the calcium phenotype by the WST-1 signal, although the assays were performed in separate preparations. This agrees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It nevertheless links the WST-1 phenotype to a broader bioenergetic and calcium-buffering response.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pPr>
      <w:r>
        <w:rPr>
          <w:b/>
        </w:rPr>
        <w:t xml:space="preserve">RNA-processing specificity. </w:t>
      </w:r>
      <w:r>
        <w:t xml:space="preserve">The annotation-free analysis recovered established TDP-43-dependent cryptic targets, including the STMN2 and UNC13A programs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pPr>
      <w:r>
        <w:rPr>
          <w:b/>
        </w:rPr>
        <w:t xml:space="preserve">CBARP, TRPC1 and junctional regulators. </w:t>
      </w:r>
      <w:r>
        <w:t xml:space="preserve">CBARP is the strongest recurrent RNA-processing candidate: it was affected in five of six datasets across two species, had a median |ΔPSI| of 0.37 and a median of 246 junction reads per event, was independently supported by the annotation-free analysis and showed the largest expression change among the SOCE-regulatory genes.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(ΔPSI +0.0013, 95% CI −0.022 to +0.024; p = 0.914).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and matched-background analyses were decisive here: they removed isolated events and apparent panel enrichment while retaining CBARP and a small number of model-specific candidates. The resulting hierarchy is stronger than a long candidate list because it distinguishes recurrent signals from coverage-sensitive observations.</w:t>
      </w:r>
    </w:p>
    <w:p>
      <w:pPr>
        <w:pStyle w:val="BodyText"/>
      </w:pPr>
      <w:r>
        <w:rPr>
          <w:b/>
        </w:rPr>
        <w:t xml:space="preserve">Relevance to disease tissue. </w:t>
      </w:r>
      <w:r>
        <w:t>TRPC1, SARAF and CBARP differed between ALS and non-neurological control tissue in several regions, but the tissue pattern did not simply reproduce the cell model. TRPC1 increased in several cortical regions while remaining unchanged in spinal cord, and its direction differed in the comparison cohorts. Cryptic STMN2 was most abundant in spinal cord, where TRPC1 did not increase, whereas cortical TRPC1 increases occurred where the cryptic junction was comparatively uncommon. Gene-level STMN2 strongly tracked neuronal content, and junction-level cryptic STMN2 did not correlate with TRPC1 within ALS regions. These regional results, together with the opposing SOCE direction in SOD1 astrocytes, indicate that cell composition and compensatory state can dominate bulk-tissue expression. The disease data therefore support involvement of the same calcium-regulatory network, while the discordance argues against a single linear path from TDP-43 dysfunction to TRPC1 abundance across all tissues.</w:t>
      </w:r>
    </w:p>
    <w:p>
      <w:pPr>
        <w:pStyle w:val="BodyText"/>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A coherent model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depolarization-evoked Ca²⁺ entry or secretion than on CPA-triggered SOCE. These outcomes would distinguish store, channel-composition and broader calcium-network mechanisms and place the functional phenotype within a directly testable neurochemical framework.</w:t>
      </w:r>
    </w:p>
    <w:bookmarkEnd w:id="39"/>
    <w:bookmarkStart w:id="40" w:name="conclusion"/>
    <w:p>
      <w:pPr>
        <w:pStyle w:val="Heading2"/>
      </w:pPr>
      <w:r>
        <w:t xml:space="preserve">5. Conclusion</w:t>
      </w:r>
    </w:p>
    <w:p>
      <w:pPr>
        <w:pStyle w:val="FirstParagrap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Coverage-based APA and conservative NMD analyses do not provide confirmatory evidence that SOCE-machinery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0"/>
    <w:bookmarkStart w:id="41" w:name="declarations"/>
    <w:p>
      <w:pPr>
        <w:pStyle w:val="Heading2"/>
      </w:pPr>
      <w:r>
        <w:t xml:space="preserve">Declarations</w:t>
      </w:r>
    </w:p>
    <w:p>
      <w:pPr>
        <w:pStyle w:val="FirstParagrap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pPr>
      <w:r>
        <w:rPr>
          <w:b/>
          <w:bCs/>
        </w:rPr>
        <w:t xml:space="preserve">Funding.</w:t>
      </w:r>
      <w:r>
        <w:t xml:space="preserve"> </w:t>
      </w:r>
      <w:r>
        <w:t xml:space="preserve">This work was supported by the Ege University Scientific Research Projects Coordination Unit (BAP), project 31901. E.Y. was supported by the Council of Higher Education (YÖK) 100/2000 PhD Scholarship Programme (priority area: Molecular Pharmacology and Drug Research) and by the TÜBİTAK BİDEB 2211-A National PhD Scholarship Programme. The funders had no role in study design, data collection and analysis, the decision to publish, or the preparation of the manuscript.</w:t>
      </w:r>
    </w:p>
    <w:p>
      <w:pPr>
        <w:pStyle w:val="BodyText"/>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pPr>
      <w:r>
        <w:rPr>
          <w:b/>
          <w:bCs/>
        </w:rPr>
        <w:t xml:space="preserve">Declaration of competing interests.</w:t>
      </w:r>
      <w:r>
        <w:t xml:space="preserve"> </w:t>
      </w:r>
      <w:r>
        <w:t xml:space="preserve">The authors declare no competing interests.</w:t>
      </w:r>
    </w:p>
    <w:p>
      <w:pPr>
        <w:pStyle w:val="BodyText"/>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v1.0.0 at https://github.com/elmasnuryilmaz/tdp43-soce-manuscript/releases/tag/v1.0.0.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pPr>
      <w:r>
        <w:t xml:space="preserve">Declaration of generative AI and AI-assisted technologies in the manuscript preparation process</w:t>
      </w:r>
    </w:p>
    <w:p>
      <w:pPr>
        <w:pStyle w:val="FirstParagrap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pPr>
      <w:r>
        <w:t xml:space="preserve">Acknowledgements</w:t>
      </w:r>
    </w:p>
    <w:p>
      <w:pPr>
        <w:pStyle w:val="FirstParagrap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pPr>
      <w:r>
        <w:t xml:space="preserve">References</w:t>
      </w:r>
    </w:p>
    <w:p>
      <w:r>
        <w:fldChar w:fldCharType="begin"/>
      </w:r>
      <w:r>
        <w:instrText xml:space="preserve"> ADDIN ZOTERO_BIBL {"uncited":[],"omitted":[],"custom":[]} CSL_BIBLIOGRAPHY </w:instrText>
      </w:r>
      <w:r>
        <w:fldChar w:fldCharType="separate"/>
      </w:r>
      <w:pPr>
        <w:pStyle w:val="FirstParagrap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pPr>
      <w:r>
        <w:t xml:space="preserve">Andrews S. FastQC: a quality control tool for high throughput sequence data. Babraham Bioinformatics; 2010. https://www.bioinformatics.babraham.ac.uk/projects/fastqc/</w:t>
      </w:r>
    </w:p>
    <w:p>
      <w:pPr>
        <w:pStyle w:val="BodyText"/>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pPr>
      <w:r>
        <w:t xml:space="preserve">National Center for Biotechnology Information (NCBI). SRA Toolkit, version 3.2.1. 2025. https://github.com/ncbi/sra-tools/</w:t>
      </w:r>
    </w:p>
    <w:p>
      <w:pPr>
        <w:pStyle w:val="BodyText"/>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pPr>
      <w:r>
        <w:t xml:space="preserve">Prakriya M, Lewis RS. Store-operated calcium channels.</w:t>
      </w:r>
      <w:r>
        <w:t xml:space="preserve"> </w:t>
      </w:r>
      <w:r>
        <w:rPr>
          <w:i/>
          <w:iCs/>
        </w:rPr>
        <w:t xml:space="preserve">Physiol Rev</w:t>
      </w:r>
      <w:r>
        <w:t xml:space="preserve">. 2015;95:1383–1436. doi:10.1152/physrev.00020.2014</w:t>
      </w:r>
    </w:p>
    <w:p>
      <w:pPr>
        <w:pStyle w:val="BodyText"/>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pPr>
      <w:r>
        <w:t xml:space="preserve">Putney JW. Pharmacology of store-operated calcium channels.</w:t>
      </w:r>
      <w:r>
        <w:t xml:space="preserve"> </w:t>
      </w:r>
      <w:r>
        <w:rPr>
          <w:i/>
          <w:iCs/>
        </w:rPr>
        <w:t xml:space="preserve">Mol Interv</w:t>
      </w:r>
      <w:r>
        <w:t xml:space="preserve">. 2010;10:209–218. doi:10.1124/mi.10.4.4</w:t>
      </w:r>
    </w:p>
    <w:p>
      <w:pPr>
        <w:pStyle w:val="BodyText"/>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pPr>
      <w:r>
        <w:rPr>
          <w:b/>
          <w:bCs/>
        </w:rPr>
        <w:t xml:space="preserve">S2.</w:t>
      </w:r>
      <w:r>
        <w:t xml:space="preserve"> </w:t>
      </w:r>
      <w:r>
        <w:t xml:space="preserve">Ca²⁺ gene panels (four cumulative sets).</w:t>
      </w:r>
    </w:p>
    <w:p>
      <w:pPr>
        <w:pStyle w:val="BodyText"/>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pPr>
      <w:r>
        <w:rPr>
          <w:b/>
          <w:bCs/>
        </w:rPr>
        <w:t xml:space="preserve">S4.</w:t>
      </w:r>
      <w:r>
        <w:t xml:space="preserve"> </w:t>
      </w:r>
      <w:r>
        <w:t xml:space="preserve">Matched permutation enrichment results, all datasets and panels.</w:t>
      </w:r>
    </w:p>
    <w:p>
      <w:pPr>
        <w:pStyle w:val="BodyText"/>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pPr>
      <w:r>
        <w:rPr>
          <w:b/>
          <w:bCs/>
        </w:rPr>
        <w:t xml:space="preserve">S6.</w:t>
      </w:r>
      <w:r>
        <w:t xml:space="preserve"> </w:t>
      </w:r>
      <w:r>
        <w:t xml:space="preserve">Cryptic positive controls, the sixteen literature genes, and the dataset × gene recovery matrix for the human comparisons.</w:t>
      </w:r>
    </w:p>
    <w:p>
      <w:pPr>
        <w:pStyle w:val="BodyText"/>
      </w:pPr>
      <w:r>
        <w:rPr>
          <w:b/>
          <w:bCs/>
        </w:rPr>
        <w:t xml:space="preserve">S7.</w:t>
      </w:r>
      <w:r>
        <w:t xml:space="preserve"> </w:t>
      </w:r>
      <w:r>
        <w:t xml:space="preserve">SOCE genes in the annotation-free analysis.</w:t>
      </w:r>
    </w:p>
    <w:p>
      <w:pPr>
        <w:pStyle w:val="BodyText"/>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pPr>
      <w:r>
        <w:rPr>
          <w:b/>
          <w:bCs/>
        </w:rPr>
        <w:t xml:space="preserve">S10.</w:t>
      </w:r>
      <w:r>
        <w:t xml:space="preserve"> </w:t>
      </w:r>
      <w:r>
        <w:t xml:space="preserve">Nonsense-mediated decay interaction for the SOCE panel and the panel-level tests, four-condition analysis.</w:t>
      </w:r>
    </w:p>
    <w:p>
      <w:pPr>
        <w:pStyle w:val="BodyText"/>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pPr>
      <w:r>
        <w:rPr>
          <w:b/>
          <w:bCs/>
        </w:rPr>
        <w:t xml:space="preserve">S12.</w:t>
      </w:r>
      <w:r>
        <w:t xml:space="preserve"> </w:t>
      </w:r>
      <w:r>
        <w:t xml:space="preserve">Machine-readable version of Table 3: cryptic event counts by comparison, with the FUS and TAF15 knockdown controls and the null-test ratios.</w:t>
      </w:r>
    </w:p>
    <w:p>
      <w:pPr>
        <w:pStyle w:val="BodyText"/>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pPr>
      <w:r>
        <w:rPr>
          <w:b/>
          <w:bCs/>
        </w:rPr>
        <w:t xml:space="preserve">S14.</w:t>
      </w:r>
      <w:r>
        <w:t xml:space="preserve"> </w:t>
      </w:r>
      <w:r>
        <w:t xml:space="preserve">Control-versus-control null test of the cryptic calling procedure, under the permissive definition and three stricter thresholds.</w:t>
      </w:r>
    </w:p>
    <w:p>
      <w:pPr>
        <w:pStyle w:val="BodyText"/>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pPr>
      <w:r>
        <w:rPr>
          <w:b/>
          <w:bCs/>
        </w:rPr>
        <w:t xml:space="preserve">S17.</w:t>
      </w:r>
      <w:r>
        <w:t xml:space="preserve"> </w:t>
      </w:r>
      <w:r>
        <w:t xml:space="preserve">Accession list for every dataset analysed, with design, library type, run-level groups for knockdown experiments and group definitions for patient cohorts.</w:t>
      </w:r>
    </w:p>
    <w:bookmarkEnd w:id="45"/>
    <w:bookmarkStart w:id="46" w:name="tables"/>
    <w:p>
      <w:pPr>
        <w:pStyle w:val="Heading2"/>
        <w:suppressLineNumbers/>
      </w:pPr>
      <w:r>
        <w:t xml:space="preserve">Tables</w:t>
      </w:r>
    </w:p>
    <w:p>
      <w:pPr>
        <w:pStyle w:val="FirstParagraph"/>
        <w:keepNext/>
        <w:suppressLineNumbers/>
        <w:spacing w:before="0" w:after="120" w:line="240" w:lineRule="auto"/>
      </w:pPr>
      <w:r>
        <w:rPr>
          <w:b/>
          <w:bCs/>
        </w:rPr>
        <w:t xml:space="preserve">Table 1.</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pPr>
      <w:r>
        <w:rPr>
          <w:b/>
          <w:bCs/>
        </w:rPr>
        <w:t xml:space="preserve">Table 2.</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CI, confidence interval; FDR, false discovery rate; PSI, percent spliced in.</w:t>
      </w:r>
    </w:p>
    <w:p>
      <w:pPr>
        <w:pStyle w:val="BodyText"/>
        <w:keepNext/>
        <w:suppressLineNumbers/>
        <w:spacing w:before="0" w:after="120" w:line="240" w:lineRule="auto"/>
      </w:pPr>
      <w:r>
        <w:rPr>
          <w:b/>
          <w:bCs/>
        </w:rPr>
        <w:t xml:space="preserve">Table 3.</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iPSC-MN, iPSC-derived motor neurons; KD, knockdown.</w:t>
      </w:r>
    </w:p>
    <w:p>
      <w:pPr>
        <w:pStyle w:val="BodyText"/>
        <w:keepNext/>
        <w:suppressLineNumbers/>
        <w:spacing w:before="0" w:after="120" w:line="240" w:lineRule="auto"/>
      </w:pPr>
      <w:r>
        <w:rPr>
          <w:b/>
          <w:bCs/>
        </w:rPr>
        <w:t xml:space="preserve">Table 4.</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8"/>
                <w:szCs w:val="18"/>
              </w:rPr>
            </w:pPr>
            <w:r>
              <w:rPr>
                <w:sz w:val="18"/>
                <w:szCs w:val="18"/>
              </w:rPr>
              <w:t xml:space="preserve">Family</w:t>
            </w:r>
          </w:p>
        </w:tc>
        <w:tc>
          <w:tcPr>
            <w:tcW w:w="1210" w:type="dxa"/>
          </w:tcPr>
          <w:p>
            <w:pPr>
              <w:pStyle w:val="Compact"/>
              <w:suppressLineNumbers/>
              <w:spacing w:before="0" w:after="0" w:line="240" w:lineRule="auto"/>
              <w:jc w:val="left"/>
              <w:rPr>
                <w:sz w:val="18"/>
                <w:szCs w:val="18"/>
              </w:rPr>
            </w:pPr>
            <w:r>
              <w:rPr>
                <w:sz w:val="18"/>
                <w:szCs w:val="18"/>
              </w:rPr>
              <w:t xml:space="preserve">Gene</w:t>
            </w:r>
          </w:p>
        </w:tc>
        <w:tc>
          <w:tcPr>
            <w:tcW w:w="1282" w:type="dxa"/>
          </w:tcPr>
          <w:p>
            <w:pPr>
              <w:pStyle w:val="Compact"/>
              <w:suppressLineNumbers/>
              <w:spacing w:before="0" w:after="0" w:line="240" w:lineRule="auto"/>
              <w:jc w:val="right"/>
              <w:rPr>
                <w:sz w:val="18"/>
                <w:szCs w:val="18"/>
              </w:rPr>
            </w:pPr>
            <w:r>
              <w:rPr>
                <w:sz w:val="18"/>
                <w:szCs w:val="18"/>
              </w:rPr>
              <w:t xml:space="preserve">TPM, control</w:t>
            </w:r>
          </w:p>
        </w:tc>
        <w:tc>
          <w:tcPr>
            <w:tcW w:w="1353" w:type="dxa"/>
          </w:tcPr>
          <w:p>
            <w:pPr>
              <w:pStyle w:val="Compact"/>
              <w:suppressLineNumbers/>
              <w:spacing w:before="0" w:after="0" w:line="240" w:lineRule="auto"/>
              <w:jc w:val="right"/>
              <w:rPr>
                <w:sz w:val="18"/>
                <w:szCs w:val="18"/>
              </w:rPr>
            </w:pPr>
            <w:r>
              <w:rPr>
                <w:sz w:val="18"/>
                <w:szCs w:val="18"/>
              </w:rPr>
              <w:t xml:space="preserve">TPM, knockdown</w:t>
            </w:r>
          </w:p>
        </w:tc>
        <w:tc>
          <w:tcPr>
            <w:tcW w:w="1282" w:type="dxa"/>
          </w:tcPr>
          <w:p>
            <w:pPr>
              <w:pStyle w:val="Compact"/>
              <w:suppressLineNumbers/>
              <w:spacing w:before="0" w:after="0" w:line="240" w:lineRule="auto"/>
              <w:jc w:val="right"/>
              <w:rPr>
                <w:sz w:val="18"/>
                <w:szCs w:val="18"/>
              </w:rPr>
            </w:pPr>
            <w:r>
              <w:rPr>
                <w:sz w:val="18"/>
                <w:szCs w:val="18"/>
              </w:rPr>
              <w:t xml:space="preserve">Adjusted TPM, control</w:t>
            </w:r>
          </w:p>
        </w:tc>
        <w:tc>
          <w:tcPr>
            <w:tcW w:w="1353" w:type="dxa"/>
          </w:tcPr>
          <w:p>
            <w:pPr>
              <w:pStyle w:val="Compact"/>
              <w:suppressLineNumbers/>
              <w:spacing w:before="0" w:after="0" w:line="240" w:lineRule="auto"/>
              <w:jc w:val="right"/>
              <w:rPr>
                <w:sz w:val="18"/>
                <w:szCs w:val="18"/>
              </w:rPr>
            </w:pPr>
            <w:r>
              <w:rPr>
                <w:sz w:val="18"/>
                <w:szCs w:val="18"/>
              </w:rPr>
              <w:t xml:space="preserve">Adjusted TPM, knockdown</w:t>
            </w:r>
          </w:p>
        </w:tc>
        <w:tc>
          <w:tcPr>
            <w:tcW w:w="1496" w:type="dxa"/>
          </w:tcPr>
          <w:p>
            <w:pPr>
              <w:pStyle w:val="Compact"/>
              <w:suppressLineNumbers/>
              <w:spacing w:before="0" w:after="0" w:line="240" w:lineRule="auto"/>
              <w:jc w:val="right"/>
              <w:rPr>
                <w:sz w:val="18"/>
                <w:szCs w:val="18"/>
              </w:rPr>
            </w:pPr>
            <w:r>
              <w:rPr>
                <w:sz w:val="18"/>
                <w:szCs w:val="18"/>
              </w:rPr>
              <w:t xml:space="preserve">Share of family, control (%)</w:t>
            </w:r>
          </w:p>
        </w:tc>
        <w:tc>
          <w:tcPr>
            <w:tcW w:w="1140" w:type="dxa"/>
          </w:tcPr>
          <w:p>
            <w:pPr>
              <w:pStyle w:val="Compact"/>
              <w:suppressLineNumbers/>
              <w:spacing w:before="0" w:after="0" w:line="240" w:lineRule="auto"/>
              <w:jc w:val="right"/>
              <w:rPr>
                <w:sz w:val="18"/>
                <w:szCs w:val="18"/>
              </w:rPr>
            </w:pPr>
            <w:r>
              <w:rPr>
                <w:sz w:val="18"/>
                <w:szCs w:val="18"/>
              </w:rPr>
              <w:t xml:space="preserve">Adjusted change (%)</w:t>
            </w:r>
          </w:p>
        </w:tc>
        <w:tc>
          <w:tcPr>
            <w:tcW w:w="854" w:type="dxa"/>
          </w:tcPr>
          <w:p>
            <w:pPr>
              <w:pStyle w:val="Compact"/>
              <w:suppressLineNumbers/>
              <w:spacing w:before="0" w:after="0" w:line="240" w:lineRule="auto"/>
              <w:jc w:val="right"/>
              <w:rPr>
                <w:sz w:val="18"/>
                <w:szCs w:val="18"/>
              </w:rPr>
            </w:pPr>
            <w:r>
              <w:rPr>
                <w:sz w:val="18"/>
                <w:szCs w:val="18"/>
              </w:rPr>
              <w:t xml:space="preserve">log2FC</w:t>
            </w:r>
          </w:p>
        </w:tc>
        <w:tc>
          <w:tcPr>
            <w:tcW w:w="1210" w:type="dxa"/>
          </w:tcPr>
          <w:p>
            <w:pPr>
              <w:pStyle w:val="Compact"/>
              <w:suppressLineNumbers/>
              <w:spacing w:before="0" w:after="0" w:line="240" w:lineRule="auto"/>
              <w:jc w:val="right"/>
              <w:rPr>
                <w:sz w:val="18"/>
                <w:szCs w:val="18"/>
              </w:rPr>
            </w:pPr>
            <w:r>
              <w:rPr>
                <w:sz w:val="18"/>
                <w:szCs w:val="18"/>
              </w:rPr>
              <w:t xml:space="preserve">p_adj</w:t>
            </w:r>
          </w:p>
        </w:tc>
      </w:tr>
      <w:tr>
        <w:tc>
          <w:tcPr>
            <w:tcW w:w="2778" w:type="dxa"/>
          </w:tcPr>
          <w:p>
            <w:pPr>
              <w:pStyle w:val="Compact"/>
              <w:suppressLineNumbers/>
              <w:spacing w:before="0" w:after="0" w:line="240" w:lineRule="auto"/>
              <w:jc w:val="left"/>
              <w:rPr>
                <w:sz w:val="18"/>
                <w:szCs w:val="18"/>
              </w:rPr>
            </w:pPr>
            <w:r>
              <w:rPr>
                <w:sz w:val="18"/>
                <w:szCs w:val="18"/>
              </w:rPr>
              <w:t xml:space="preserve">STIM (ER Ca²⁺ sensor)</w:t>
            </w:r>
          </w:p>
        </w:tc>
        <w:tc>
          <w:tcPr>
            <w:tcW w:w="1210" w:type="dxa"/>
          </w:tcPr>
          <w:p>
            <w:pPr>
              <w:pStyle w:val="Compact"/>
              <w:suppressLineNumbers/>
              <w:spacing w:before="0" w:after="0" w:line="240" w:lineRule="auto"/>
              <w:jc w:val="left"/>
              <w:rPr>
                <w:sz w:val="18"/>
                <w:szCs w:val="18"/>
              </w:rPr>
            </w:pPr>
            <w:r>
              <w:rPr>
                <w:b/>
                <w:bCs/>
                <w:i/>
                <w:iCs/>
                <w:sz w:val="18"/>
                <w:szCs w:val="18"/>
              </w:rPr>
              <w:t xml:space="preserve">STIM1</w:t>
            </w:r>
          </w:p>
        </w:tc>
        <w:tc>
          <w:tcPr>
            <w:tcW w:w="1282" w:type="dxa"/>
          </w:tcPr>
          <w:p>
            <w:pPr>
              <w:pStyle w:val="Compact"/>
              <w:suppressLineNumbers/>
              <w:spacing w:before="0" w:after="0" w:line="240" w:lineRule="auto"/>
              <w:jc w:val="right"/>
              <w:rPr>
                <w:sz w:val="18"/>
                <w:szCs w:val="18"/>
              </w:rPr>
            </w:pPr>
            <w:r>
              <w:rPr>
                <w:sz w:val="18"/>
                <w:szCs w:val="18"/>
              </w:rPr>
              <w:t xml:space="preserve">35.46</w:t>
            </w:r>
          </w:p>
        </w:tc>
        <w:tc>
          <w:tcPr>
            <w:tcW w:w="1353" w:type="dxa"/>
          </w:tcPr>
          <w:p>
            <w:pPr>
              <w:pStyle w:val="Compact"/>
              <w:suppressLineNumbers/>
              <w:spacing w:before="0" w:after="0" w:line="240" w:lineRule="auto"/>
              <w:jc w:val="right"/>
              <w:rPr>
                <w:sz w:val="18"/>
                <w:szCs w:val="18"/>
              </w:rPr>
            </w:pPr>
            <w:r>
              <w:rPr>
                <w:sz w:val="18"/>
                <w:szCs w:val="18"/>
              </w:rPr>
              <w:t xml:space="preserve">50.54</w:t>
            </w:r>
          </w:p>
        </w:tc>
        <w:tc>
          <w:tcPr>
            <w:tcW w:w="1282" w:type="dxa"/>
          </w:tcPr>
          <w:p>
            <w:pPr>
              <w:pStyle w:val="Compact"/>
              <w:suppressLineNumbers/>
              <w:spacing w:before="0" w:after="0" w:line="240" w:lineRule="auto"/>
              <w:jc w:val="right"/>
              <w:rPr>
                <w:sz w:val="18"/>
                <w:szCs w:val="18"/>
              </w:rPr>
            </w:pPr>
            <w:r>
              <w:rPr>
                <w:sz w:val="18"/>
                <w:szCs w:val="18"/>
              </w:rPr>
              <w:t xml:space="preserve">30.95</w:t>
            </w:r>
          </w:p>
        </w:tc>
        <w:tc>
          <w:tcPr>
            <w:tcW w:w="1353" w:type="dxa"/>
          </w:tcPr>
          <w:p>
            <w:pPr>
              <w:pStyle w:val="Compact"/>
              <w:suppressLineNumbers/>
              <w:spacing w:before="0" w:after="0" w:line="240" w:lineRule="auto"/>
              <w:jc w:val="right"/>
              <w:rPr>
                <w:sz w:val="18"/>
                <w:szCs w:val="18"/>
              </w:rPr>
            </w:pPr>
            <w:r>
              <w:rPr>
                <w:sz w:val="18"/>
                <w:szCs w:val="18"/>
              </w:rPr>
              <w:t xml:space="preserve">57.74</w:t>
            </w:r>
          </w:p>
        </w:tc>
        <w:tc>
          <w:tcPr>
            <w:tcW w:w="1496" w:type="dxa"/>
          </w:tcPr>
          <w:p>
            <w:pPr>
              <w:pStyle w:val="Compact"/>
              <w:suppressLineNumbers/>
              <w:spacing w:before="0" w:after="0" w:line="240" w:lineRule="auto"/>
              <w:jc w:val="right"/>
              <w:rPr>
                <w:sz w:val="18"/>
                <w:szCs w:val="18"/>
              </w:rPr>
            </w:pPr>
            <w:r>
              <w:rPr>
                <w:sz w:val="18"/>
                <w:szCs w:val="18"/>
              </w:rPr>
              <w:t xml:space="preserve">64.0</w:t>
            </w:r>
          </w:p>
        </w:tc>
        <w:tc>
          <w:tcPr>
            <w:tcW w:w="1140" w:type="dxa"/>
          </w:tcPr>
          <w:p>
            <w:pPr>
              <w:pStyle w:val="Compact"/>
              <w:suppressLineNumbers/>
              <w:spacing w:before="0" w:after="0" w:line="240" w:lineRule="auto"/>
              <w:jc w:val="right"/>
              <w:rPr>
                <w:sz w:val="18"/>
                <w:szCs w:val="18"/>
              </w:rPr>
            </w:pPr>
            <w:r>
              <w:rPr>
                <w:sz w:val="18"/>
                <w:szCs w:val="18"/>
              </w:rPr>
              <w:t xml:space="preserve">+86.5</w:t>
            </w:r>
          </w:p>
        </w:tc>
        <w:tc>
          <w:tcPr>
            <w:tcW w:w="854" w:type="dxa"/>
          </w:tcPr>
          <w:p>
            <w:pPr>
              <w:pStyle w:val="Compact"/>
              <w:suppressLineNumbers/>
              <w:spacing w:before="0" w:after="0" w:line="240" w:lineRule="auto"/>
              <w:jc w:val="right"/>
              <w:rPr>
                <w:sz w:val="18"/>
                <w:szCs w:val="18"/>
              </w:rPr>
            </w:pPr>
            <w:r>
              <w:rPr>
                <w:sz w:val="18"/>
                <w:szCs w:val="18"/>
              </w:rPr>
              <w:t xml:space="preserve">+0.929</w:t>
            </w:r>
          </w:p>
        </w:tc>
        <w:tc>
          <w:tcPr>
            <w:tcW w:w="1210" w:type="dxa"/>
          </w:tcPr>
          <w:p>
            <w:pPr>
              <w:pStyle w:val="Compact"/>
              <w:suppressLineNumbers/>
              <w:spacing w:before="0" w:after="0" w:line="240" w:lineRule="auto"/>
              <w:jc w:val="right"/>
              <w:rPr>
                <w:sz w:val="18"/>
                <w:szCs w:val="18"/>
              </w:rPr>
            </w:pPr>
            <w:r>
              <w:rPr>
                <w:sz w:val="18"/>
                <w:szCs w:val="18"/>
              </w:rPr>
              <w:t xml:space="preserve">4.3 × 10⁻⁴⁷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STIM2</w:t>
            </w:r>
          </w:p>
        </w:tc>
        <w:tc>
          <w:tcPr>
            <w:tcW w:w="1282" w:type="dxa"/>
          </w:tcPr>
          <w:p>
            <w:pPr>
              <w:pStyle w:val="Compact"/>
              <w:suppressLineNumbers/>
              <w:spacing w:before="0" w:after="0" w:line="240" w:lineRule="auto"/>
              <w:jc w:val="right"/>
              <w:rPr>
                <w:sz w:val="18"/>
                <w:szCs w:val="18"/>
              </w:rPr>
            </w:pPr>
            <w:r>
              <w:rPr>
                <w:sz w:val="18"/>
                <w:szCs w:val="18"/>
              </w:rPr>
              <w:t xml:space="preserve">20.01</w:t>
            </w:r>
          </w:p>
        </w:tc>
        <w:tc>
          <w:tcPr>
            <w:tcW w:w="1353" w:type="dxa"/>
          </w:tcPr>
          <w:p>
            <w:pPr>
              <w:pStyle w:val="Compact"/>
              <w:suppressLineNumbers/>
              <w:spacing w:before="0" w:after="0" w:line="240" w:lineRule="auto"/>
              <w:jc w:val="right"/>
              <w:rPr>
                <w:sz w:val="18"/>
                <w:szCs w:val="18"/>
              </w:rPr>
            </w:pPr>
            <w:r>
              <w:rPr>
                <w:sz w:val="18"/>
                <w:szCs w:val="18"/>
              </w:rPr>
              <w:t xml:space="preserve">12.02</w:t>
            </w:r>
          </w:p>
        </w:tc>
        <w:tc>
          <w:tcPr>
            <w:tcW w:w="1282" w:type="dxa"/>
          </w:tcPr>
          <w:p>
            <w:pPr>
              <w:pStyle w:val="Compact"/>
              <w:suppressLineNumbers/>
              <w:spacing w:before="0" w:after="0" w:line="240" w:lineRule="auto"/>
              <w:jc w:val="right"/>
              <w:rPr>
                <w:sz w:val="18"/>
                <w:szCs w:val="18"/>
              </w:rPr>
            </w:pPr>
            <w:r>
              <w:rPr>
                <w:sz w:val="18"/>
                <w:szCs w:val="18"/>
              </w:rPr>
              <w:t xml:space="preserve">17.45</w:t>
            </w:r>
          </w:p>
        </w:tc>
        <w:tc>
          <w:tcPr>
            <w:tcW w:w="1353" w:type="dxa"/>
          </w:tcPr>
          <w:p>
            <w:pPr>
              <w:pStyle w:val="Compact"/>
              <w:suppressLineNumbers/>
              <w:spacing w:before="0" w:after="0" w:line="240" w:lineRule="auto"/>
              <w:jc w:val="right"/>
              <w:rPr>
                <w:sz w:val="18"/>
                <w:szCs w:val="18"/>
              </w:rPr>
            </w:pPr>
            <w:r>
              <w:rPr>
                <w:sz w:val="18"/>
                <w:szCs w:val="18"/>
              </w:rPr>
              <w:t xml:space="preserve">13.73</w:t>
            </w:r>
          </w:p>
        </w:tc>
        <w:tc>
          <w:tcPr>
            <w:tcW w:w="1496" w:type="dxa"/>
          </w:tcPr>
          <w:p>
            <w:pPr>
              <w:pStyle w:val="Compact"/>
              <w:suppressLineNumbers/>
              <w:spacing w:before="0" w:after="0" w:line="240" w:lineRule="auto"/>
              <w:jc w:val="right"/>
              <w:rPr>
                <w:sz w:val="18"/>
                <w:szCs w:val="18"/>
              </w:rPr>
            </w:pPr>
            <w:r>
              <w:rPr>
                <w:sz w:val="18"/>
                <w:szCs w:val="18"/>
              </w:rPr>
              <w:t xml:space="preserve">36.0</w:t>
            </w:r>
          </w:p>
        </w:tc>
        <w:tc>
          <w:tcPr>
            <w:tcW w:w="1140" w:type="dxa"/>
          </w:tcPr>
          <w:p>
            <w:pPr>
              <w:pStyle w:val="Compact"/>
              <w:suppressLineNumbers/>
              <w:spacing w:before="0" w:after="0" w:line="240" w:lineRule="auto"/>
              <w:jc w:val="right"/>
              <w:rPr>
                <w:sz w:val="18"/>
                <w:szCs w:val="18"/>
              </w:rPr>
            </w:pPr>
            <w:r>
              <w:rPr>
                <w:sz w:val="18"/>
                <w:szCs w:val="18"/>
              </w:rPr>
              <w:t xml:space="preserve">−21.3</w:t>
            </w:r>
          </w:p>
        </w:tc>
        <w:tc>
          <w:tcPr>
            <w:tcW w:w="854" w:type="dxa"/>
          </w:tcPr>
          <w:p>
            <w:pPr>
              <w:pStyle w:val="Compact"/>
              <w:suppressLineNumbers/>
              <w:spacing w:before="0" w:after="0" w:line="240" w:lineRule="auto"/>
              <w:jc w:val="right"/>
              <w:rPr>
                <w:sz w:val="18"/>
                <w:szCs w:val="18"/>
              </w:rPr>
            </w:pPr>
            <w:r>
              <w:rPr>
                <w:sz w:val="18"/>
                <w:szCs w:val="18"/>
              </w:rPr>
              <w:t xml:space="preserve">−0.527</w:t>
            </w:r>
          </w:p>
        </w:tc>
        <w:tc>
          <w:tcPr>
            <w:tcW w:w="1210" w:type="dxa"/>
          </w:tcPr>
          <w:p>
            <w:pPr>
              <w:pStyle w:val="Compact"/>
              <w:suppressLineNumbers/>
              <w:spacing w:before="0" w:after="0" w:line="240" w:lineRule="auto"/>
              <w:jc w:val="right"/>
              <w:rPr>
                <w:sz w:val="18"/>
                <w:szCs w:val="18"/>
              </w:rPr>
            </w:pPr>
            <w:r>
              <w:rPr>
                <w:sz w:val="18"/>
                <w:szCs w:val="18"/>
              </w:rPr>
              <w:t xml:space="preserve">1.8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55.47</w:t>
            </w:r>
          </w:p>
        </w:tc>
        <w:tc>
          <w:tcPr>
            <w:tcW w:w="1353" w:type="dxa"/>
          </w:tcPr>
          <w:p>
            <w:pPr>
              <w:pStyle w:val="Compact"/>
              <w:suppressLineNumbers/>
              <w:spacing w:before="0" w:after="0" w:line="240" w:lineRule="auto"/>
              <w:jc w:val="right"/>
              <w:rPr>
                <w:sz w:val="18"/>
                <w:szCs w:val="18"/>
              </w:rPr>
            </w:pPr>
            <w:r>
              <w:rPr>
                <w:sz w:val="18"/>
                <w:szCs w:val="18"/>
              </w:rPr>
              <w:t xml:space="preserve">62.55</w:t>
            </w:r>
          </w:p>
        </w:tc>
        <w:tc>
          <w:tcPr>
            <w:tcW w:w="1282" w:type="dxa"/>
          </w:tcPr>
          <w:p>
            <w:pPr>
              <w:pStyle w:val="Compact"/>
              <w:suppressLineNumbers/>
              <w:spacing w:before="0" w:after="0" w:line="240" w:lineRule="auto"/>
              <w:jc w:val="right"/>
              <w:rPr>
                <w:sz w:val="18"/>
                <w:szCs w:val="18"/>
              </w:rPr>
            </w:pPr>
            <w:r>
              <w:rPr>
                <w:sz w:val="18"/>
                <w:szCs w:val="18"/>
              </w:rPr>
              <w:t xml:space="preserve">48.40</w:t>
            </w:r>
          </w:p>
        </w:tc>
        <w:tc>
          <w:tcPr>
            <w:tcW w:w="1353" w:type="dxa"/>
          </w:tcPr>
          <w:p>
            <w:pPr>
              <w:pStyle w:val="Compact"/>
              <w:suppressLineNumbers/>
              <w:spacing w:before="0" w:after="0" w:line="240" w:lineRule="auto"/>
              <w:jc w:val="right"/>
              <w:rPr>
                <w:sz w:val="18"/>
                <w:szCs w:val="18"/>
              </w:rPr>
            </w:pPr>
            <w:r>
              <w:rPr>
                <w:sz w:val="18"/>
                <w:szCs w:val="18"/>
              </w:rPr>
              <w:t xml:space="preserve">71.47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+47.7</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ORAI (CRAC channel)</w:t>
            </w:r>
          </w:p>
        </w:tc>
        <w:tc>
          <w:tcPr>
            <w:tcW w:w="1210" w:type="dxa"/>
          </w:tcPr>
          <w:p>
            <w:pPr>
              <w:pStyle w:val="Compact"/>
              <w:suppressLineNumbers/>
              <w:spacing w:before="0" w:after="0" w:line="240" w:lineRule="auto"/>
              <w:jc w:val="left"/>
              <w:rPr>
                <w:sz w:val="18"/>
                <w:szCs w:val="18"/>
              </w:rPr>
            </w:pPr>
            <w:r>
              <w:rPr>
                <w:i/>
                <w:iCs/>
                <w:sz w:val="18"/>
                <w:szCs w:val="18"/>
              </w:rPr>
              <w:t xml:space="preserve">ORAI1</w:t>
            </w:r>
          </w:p>
        </w:tc>
        <w:tc>
          <w:tcPr>
            <w:tcW w:w="1282" w:type="dxa"/>
          </w:tcPr>
          <w:p>
            <w:pPr>
              <w:pStyle w:val="Compact"/>
              <w:suppressLineNumbers/>
              <w:spacing w:before="0" w:after="0" w:line="240" w:lineRule="auto"/>
              <w:jc w:val="right"/>
              <w:rPr>
                <w:sz w:val="18"/>
                <w:szCs w:val="18"/>
              </w:rPr>
            </w:pPr>
            <w:r>
              <w:rPr>
                <w:sz w:val="18"/>
                <w:szCs w:val="18"/>
              </w:rPr>
              <w:t xml:space="preserve">10.60</w:t>
            </w:r>
          </w:p>
        </w:tc>
        <w:tc>
          <w:tcPr>
            <w:tcW w:w="1353" w:type="dxa"/>
          </w:tcPr>
          <w:p>
            <w:pPr>
              <w:pStyle w:val="Compact"/>
              <w:suppressLineNumbers/>
              <w:spacing w:before="0" w:after="0" w:line="240" w:lineRule="auto"/>
              <w:jc w:val="right"/>
              <w:rPr>
                <w:sz w:val="18"/>
                <w:szCs w:val="18"/>
              </w:rPr>
            </w:pPr>
            <w:r>
              <w:rPr>
                <w:sz w:val="18"/>
                <w:szCs w:val="18"/>
              </w:rPr>
              <w:t xml:space="preserve">11.70</w:t>
            </w:r>
          </w:p>
        </w:tc>
        <w:tc>
          <w:tcPr>
            <w:tcW w:w="1282" w:type="dxa"/>
          </w:tcPr>
          <w:p>
            <w:pPr>
              <w:pStyle w:val="Compact"/>
              <w:suppressLineNumbers/>
              <w:spacing w:before="0" w:after="0" w:line="240" w:lineRule="auto"/>
              <w:jc w:val="right"/>
              <w:rPr>
                <w:sz w:val="18"/>
                <w:szCs w:val="18"/>
              </w:rPr>
            </w:pPr>
            <w:r>
              <w:rPr>
                <w:sz w:val="18"/>
                <w:szCs w:val="18"/>
              </w:rPr>
              <w:t xml:space="preserve">9.25</w:t>
            </w:r>
          </w:p>
        </w:tc>
        <w:tc>
          <w:tcPr>
            <w:tcW w:w="1353" w:type="dxa"/>
          </w:tcPr>
          <w:p>
            <w:pPr>
              <w:pStyle w:val="Compact"/>
              <w:suppressLineNumbers/>
              <w:spacing w:before="0" w:after="0" w:line="240" w:lineRule="auto"/>
              <w:jc w:val="right"/>
              <w:rPr>
                <w:sz w:val="18"/>
                <w:szCs w:val="18"/>
              </w:rPr>
            </w:pPr>
            <w:r>
              <w:rPr>
                <w:sz w:val="18"/>
                <w:szCs w:val="18"/>
              </w:rPr>
              <w:t xml:space="preserve">13.37</w:t>
            </w:r>
          </w:p>
        </w:tc>
        <w:tc>
          <w:tcPr>
            <w:tcW w:w="1496" w:type="dxa"/>
          </w:tcPr>
          <w:p>
            <w:pPr>
              <w:pStyle w:val="Compact"/>
              <w:suppressLineNumbers/>
              <w:spacing w:before="0" w:after="0" w:line="240" w:lineRule="auto"/>
              <w:jc w:val="right"/>
              <w:rPr>
                <w:sz w:val="18"/>
                <w:szCs w:val="18"/>
              </w:rPr>
            </w:pPr>
            <w:r>
              <w:rPr>
                <w:sz w:val="18"/>
                <w:szCs w:val="18"/>
              </w:rPr>
              <w:t xml:space="preserve">15.2</w:t>
            </w:r>
          </w:p>
        </w:tc>
        <w:tc>
          <w:tcPr>
            <w:tcW w:w="1140" w:type="dxa"/>
          </w:tcPr>
          <w:p>
            <w:pPr>
              <w:pStyle w:val="Compact"/>
              <w:suppressLineNumbers/>
              <w:spacing w:before="0" w:after="0" w:line="240" w:lineRule="auto"/>
              <w:jc w:val="right"/>
              <w:rPr>
                <w:sz w:val="18"/>
                <w:szCs w:val="18"/>
              </w:rPr>
            </w:pPr>
            <w:r>
              <w:rPr>
                <w:sz w:val="18"/>
                <w:szCs w:val="18"/>
              </w:rPr>
              <w:t xml:space="preserve">+44.5</w:t>
            </w:r>
          </w:p>
        </w:tc>
        <w:tc>
          <w:tcPr>
            <w:tcW w:w="854" w:type="dxa"/>
          </w:tcPr>
          <w:p>
            <w:pPr>
              <w:pStyle w:val="Compact"/>
              <w:suppressLineNumbers/>
              <w:spacing w:before="0" w:after="0" w:line="240" w:lineRule="auto"/>
              <w:jc w:val="right"/>
              <w:rPr>
                <w:sz w:val="18"/>
                <w:szCs w:val="18"/>
              </w:rPr>
            </w:pPr>
            <w:r>
              <w:rPr>
                <w:sz w:val="18"/>
                <w:szCs w:val="18"/>
              </w:rPr>
              <w:t xml:space="preserve">+0.433</w:t>
            </w:r>
          </w:p>
        </w:tc>
        <w:tc>
          <w:tcPr>
            <w:tcW w:w="1210" w:type="dxa"/>
          </w:tcPr>
          <w:p>
            <w:pPr>
              <w:pStyle w:val="Compact"/>
              <w:suppressLineNumbers/>
              <w:spacing w:before="0" w:after="0" w:line="240" w:lineRule="auto"/>
              <w:jc w:val="right"/>
              <w:rPr>
                <w:sz w:val="18"/>
                <w:szCs w:val="18"/>
              </w:rPr>
            </w:pPr>
            <w:r>
              <w:rPr>
                <w:sz w:val="18"/>
                <w:szCs w:val="18"/>
              </w:rPr>
              <w:t xml:space="preserve">2.4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ORAI2</w:t>
            </w:r>
          </w:p>
        </w:tc>
        <w:tc>
          <w:tcPr>
            <w:tcW w:w="1282" w:type="dxa"/>
          </w:tcPr>
          <w:p>
            <w:pPr>
              <w:pStyle w:val="Compact"/>
              <w:suppressLineNumbers/>
              <w:spacing w:before="0" w:after="0" w:line="240" w:lineRule="auto"/>
              <w:jc w:val="right"/>
              <w:rPr>
                <w:sz w:val="18"/>
                <w:szCs w:val="18"/>
              </w:rPr>
            </w:pPr>
            <w:r>
              <w:rPr>
                <w:sz w:val="18"/>
                <w:szCs w:val="18"/>
              </w:rPr>
              <w:t xml:space="preserve">53.78</w:t>
            </w:r>
          </w:p>
        </w:tc>
        <w:tc>
          <w:tcPr>
            <w:tcW w:w="1353" w:type="dxa"/>
          </w:tcPr>
          <w:p>
            <w:pPr>
              <w:pStyle w:val="Compact"/>
              <w:suppressLineNumbers/>
              <w:spacing w:before="0" w:after="0" w:line="240" w:lineRule="auto"/>
              <w:jc w:val="right"/>
              <w:rPr>
                <w:sz w:val="18"/>
                <w:szCs w:val="18"/>
              </w:rPr>
            </w:pPr>
            <w:r>
              <w:rPr>
                <w:sz w:val="18"/>
                <w:szCs w:val="18"/>
              </w:rPr>
              <w:t xml:space="preserve">35.86</w:t>
            </w:r>
          </w:p>
        </w:tc>
        <w:tc>
          <w:tcPr>
            <w:tcW w:w="1282" w:type="dxa"/>
          </w:tcPr>
          <w:p>
            <w:pPr>
              <w:pStyle w:val="Compact"/>
              <w:suppressLineNumbers/>
              <w:spacing w:before="0" w:after="0" w:line="240" w:lineRule="auto"/>
              <w:jc w:val="right"/>
              <w:rPr>
                <w:sz w:val="18"/>
                <w:szCs w:val="18"/>
              </w:rPr>
            </w:pPr>
            <w:r>
              <w:rPr>
                <w:sz w:val="18"/>
                <w:szCs w:val="18"/>
              </w:rPr>
              <w:t xml:space="preserve">46.92</w:t>
            </w:r>
          </w:p>
        </w:tc>
        <w:tc>
          <w:tcPr>
            <w:tcW w:w="1353" w:type="dxa"/>
          </w:tcPr>
          <w:p>
            <w:pPr>
              <w:pStyle w:val="Compact"/>
              <w:suppressLineNumbers/>
              <w:spacing w:before="0" w:after="0" w:line="240" w:lineRule="auto"/>
              <w:jc w:val="right"/>
              <w:rPr>
                <w:sz w:val="18"/>
                <w:szCs w:val="18"/>
              </w:rPr>
            </w:pPr>
            <w:r>
              <w:rPr>
                <w:sz w:val="18"/>
                <w:szCs w:val="18"/>
              </w:rPr>
              <w:t xml:space="preserve">40.98</w:t>
            </w:r>
          </w:p>
        </w:tc>
        <w:tc>
          <w:tcPr>
            <w:tcW w:w="1496" w:type="dxa"/>
          </w:tcPr>
          <w:p>
            <w:pPr>
              <w:pStyle w:val="Compact"/>
              <w:suppressLineNumbers/>
              <w:spacing w:before="0" w:after="0" w:line="240" w:lineRule="auto"/>
              <w:jc w:val="right"/>
              <w:rPr>
                <w:sz w:val="18"/>
                <w:szCs w:val="18"/>
              </w:rPr>
            </w:pPr>
            <w:r>
              <w:rPr>
                <w:sz w:val="18"/>
                <w:szCs w:val="18"/>
              </w:rPr>
              <w:t xml:space="preserve">77.2</w:t>
            </w:r>
          </w:p>
        </w:tc>
        <w:tc>
          <w:tcPr>
            <w:tcW w:w="1140" w:type="dxa"/>
          </w:tcPr>
          <w:p>
            <w:pPr>
              <w:pStyle w:val="Compact"/>
              <w:suppressLineNumbers/>
              <w:spacing w:before="0" w:after="0" w:line="240" w:lineRule="auto"/>
              <w:jc w:val="right"/>
              <w:rPr>
                <w:sz w:val="18"/>
                <w:szCs w:val="18"/>
              </w:rPr>
            </w:pPr>
            <w:r>
              <w:rPr>
                <w:sz w:val="18"/>
                <w:szCs w:val="18"/>
              </w:rPr>
              <w:t xml:space="preserve">−12.7</w:t>
            </w:r>
          </w:p>
        </w:tc>
        <w:tc>
          <w:tcPr>
            <w:tcW w:w="854" w:type="dxa"/>
          </w:tcPr>
          <w:p>
            <w:pPr>
              <w:pStyle w:val="Compact"/>
              <w:suppressLineNumbers/>
              <w:spacing w:before="0" w:after="0" w:line="240" w:lineRule="auto"/>
              <w:jc w:val="right"/>
              <w:rPr>
                <w:sz w:val="18"/>
                <w:szCs w:val="18"/>
              </w:rPr>
            </w:pPr>
            <w:r>
              <w:rPr>
                <w:sz w:val="18"/>
                <w:szCs w:val="18"/>
              </w:rPr>
              <w:t xml:space="preserve">−0.173</w:t>
            </w:r>
          </w:p>
        </w:tc>
        <w:tc>
          <w:tcPr>
            <w:tcW w:w="1210" w:type="dxa"/>
          </w:tcPr>
          <w:p>
            <w:pPr>
              <w:pStyle w:val="Compact"/>
              <w:suppressLineNumbers/>
              <w:spacing w:before="0" w:after="0" w:line="240" w:lineRule="auto"/>
              <w:jc w:val="right"/>
              <w:rPr>
                <w:sz w:val="18"/>
                <w:szCs w:val="18"/>
              </w:rPr>
            </w:pPr>
            <w:r>
              <w:rPr>
                <w:sz w:val="18"/>
                <w:szCs w:val="18"/>
              </w:rPr>
              <w:t xml:space="preserve">2.2 × 10⁻³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ORAI3</w:t>
            </w:r>
          </w:p>
        </w:tc>
        <w:tc>
          <w:tcPr>
            <w:tcW w:w="1282" w:type="dxa"/>
          </w:tcPr>
          <w:p>
            <w:pPr>
              <w:pStyle w:val="Compact"/>
              <w:suppressLineNumbers/>
              <w:spacing w:before="0" w:after="0" w:line="240" w:lineRule="auto"/>
              <w:jc w:val="right"/>
              <w:rPr>
                <w:sz w:val="18"/>
                <w:szCs w:val="18"/>
              </w:rPr>
            </w:pPr>
            <w:r>
              <w:rPr>
                <w:sz w:val="18"/>
                <w:szCs w:val="18"/>
              </w:rPr>
              <w:t xml:space="preserve">5.24</w:t>
            </w:r>
          </w:p>
        </w:tc>
        <w:tc>
          <w:tcPr>
            <w:tcW w:w="1353" w:type="dxa"/>
          </w:tcPr>
          <w:p>
            <w:pPr>
              <w:pStyle w:val="Compact"/>
              <w:suppressLineNumbers/>
              <w:spacing w:before="0" w:after="0" w:line="240" w:lineRule="auto"/>
              <w:jc w:val="right"/>
              <w:rPr>
                <w:sz w:val="18"/>
                <w:szCs w:val="18"/>
              </w:rPr>
            </w:pPr>
            <w:r>
              <w:rPr>
                <w:sz w:val="18"/>
                <w:szCs w:val="18"/>
              </w:rPr>
              <w:t xml:space="preserve">20.06</w:t>
            </w:r>
          </w:p>
        </w:tc>
        <w:tc>
          <w:tcPr>
            <w:tcW w:w="1282" w:type="dxa"/>
          </w:tcPr>
          <w:p>
            <w:pPr>
              <w:pStyle w:val="Compact"/>
              <w:suppressLineNumbers/>
              <w:spacing w:before="0" w:after="0" w:line="240" w:lineRule="auto"/>
              <w:jc w:val="right"/>
              <w:rPr>
                <w:sz w:val="18"/>
                <w:szCs w:val="18"/>
              </w:rPr>
            </w:pPr>
            <w:r>
              <w:rPr>
                <w:sz w:val="18"/>
                <w:szCs w:val="18"/>
              </w:rPr>
              <w:t xml:space="preserve">4.57</w:t>
            </w:r>
          </w:p>
        </w:tc>
        <w:tc>
          <w:tcPr>
            <w:tcW w:w="1353" w:type="dxa"/>
          </w:tcPr>
          <w:p>
            <w:pPr>
              <w:pStyle w:val="Compact"/>
              <w:suppressLineNumbers/>
              <w:spacing w:before="0" w:after="0" w:line="240" w:lineRule="auto"/>
              <w:jc w:val="right"/>
              <w:rPr>
                <w:sz w:val="18"/>
                <w:szCs w:val="18"/>
              </w:rPr>
            </w:pPr>
            <w:r>
              <w:rPr>
                <w:sz w:val="18"/>
                <w:szCs w:val="18"/>
              </w:rPr>
              <w:t xml:space="preserve">22.92</w:t>
            </w:r>
          </w:p>
        </w:tc>
        <w:tc>
          <w:tcPr>
            <w:tcW w:w="1496" w:type="dxa"/>
          </w:tcPr>
          <w:p>
            <w:pPr>
              <w:pStyle w:val="Compact"/>
              <w:suppressLineNumbers/>
              <w:spacing w:before="0" w:after="0" w:line="240" w:lineRule="auto"/>
              <w:jc w:val="right"/>
              <w:rPr>
                <w:sz w:val="18"/>
                <w:szCs w:val="18"/>
              </w:rPr>
            </w:pPr>
            <w:r>
              <w:rPr>
                <w:sz w:val="18"/>
                <w:szCs w:val="18"/>
              </w:rPr>
              <w:t xml:space="preserve">7.5</w:t>
            </w:r>
          </w:p>
        </w:tc>
        <w:tc>
          <w:tcPr>
            <w:tcW w:w="1140" w:type="dxa"/>
          </w:tcPr>
          <w:p>
            <w:pPr>
              <w:pStyle w:val="Compact"/>
              <w:suppressLineNumbers/>
              <w:spacing w:before="0" w:after="0" w:line="240" w:lineRule="auto"/>
              <w:jc w:val="right"/>
              <w:rPr>
                <w:sz w:val="18"/>
                <w:szCs w:val="18"/>
              </w:rPr>
            </w:pPr>
            <w:r>
              <w:rPr>
                <w:sz w:val="18"/>
                <w:szCs w:val="18"/>
              </w:rPr>
              <w:t xml:space="preserve">+401.4</w:t>
            </w:r>
          </w:p>
        </w:tc>
        <w:tc>
          <w:tcPr>
            <w:tcW w:w="854" w:type="dxa"/>
          </w:tcPr>
          <w:p>
            <w:pPr>
              <w:pStyle w:val="Compact"/>
              <w:suppressLineNumbers/>
              <w:spacing w:before="0" w:after="0" w:line="240" w:lineRule="auto"/>
              <w:jc w:val="right"/>
              <w:rPr>
                <w:sz w:val="18"/>
                <w:szCs w:val="18"/>
              </w:rPr>
            </w:pPr>
            <w:r>
              <w:rPr>
                <w:sz w:val="18"/>
                <w:szCs w:val="18"/>
              </w:rPr>
              <w:t xml:space="preserve">+2.056</w:t>
            </w:r>
          </w:p>
        </w:tc>
        <w:tc>
          <w:tcPr>
            <w:tcW w:w="1210" w:type="dxa"/>
          </w:tcPr>
          <w:p>
            <w:pPr>
              <w:pStyle w:val="Compact"/>
              <w:suppressLineNumbers/>
              <w:spacing w:before="0" w:after="0" w:line="240" w:lineRule="auto"/>
              <w:jc w:val="right"/>
              <w:rPr>
                <w:sz w:val="18"/>
                <w:szCs w:val="18"/>
              </w:rPr>
            </w:pPr>
            <w:r>
              <w:rPr>
                <w:sz w:val="18"/>
                <w:szCs w:val="18"/>
              </w:rPr>
              <w:t xml:space="preserve">2.3 × 10⁻⁶⁴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69.62</w:t>
            </w:r>
          </w:p>
        </w:tc>
        <w:tc>
          <w:tcPr>
            <w:tcW w:w="1353" w:type="dxa"/>
          </w:tcPr>
          <w:p>
            <w:pPr>
              <w:pStyle w:val="Compact"/>
              <w:suppressLineNumbers/>
              <w:spacing w:before="0" w:after="0" w:line="240" w:lineRule="auto"/>
              <w:jc w:val="right"/>
              <w:rPr>
                <w:sz w:val="18"/>
                <w:szCs w:val="18"/>
              </w:rPr>
            </w:pPr>
            <w:r>
              <w:rPr>
                <w:sz w:val="18"/>
                <w:szCs w:val="18"/>
              </w:rPr>
              <w:t xml:space="preserve">67.62</w:t>
            </w:r>
          </w:p>
        </w:tc>
        <w:tc>
          <w:tcPr>
            <w:tcW w:w="1282" w:type="dxa"/>
          </w:tcPr>
          <w:p>
            <w:pPr>
              <w:pStyle w:val="Compact"/>
              <w:suppressLineNumbers/>
              <w:spacing w:before="0" w:after="0" w:line="240" w:lineRule="auto"/>
              <w:jc w:val="right"/>
              <w:rPr>
                <w:sz w:val="18"/>
                <w:szCs w:val="18"/>
              </w:rPr>
            </w:pPr>
            <w:r>
              <w:rPr>
                <w:sz w:val="18"/>
                <w:szCs w:val="18"/>
              </w:rPr>
              <w:t xml:space="preserve">60.75</w:t>
            </w:r>
          </w:p>
        </w:tc>
        <w:tc>
          <w:tcPr>
            <w:tcW w:w="1353" w:type="dxa"/>
          </w:tcPr>
          <w:p>
            <w:pPr>
              <w:pStyle w:val="Compact"/>
              <w:suppressLineNumbers/>
              <w:spacing w:before="0" w:after="0" w:line="240" w:lineRule="auto"/>
              <w:jc w:val="right"/>
              <w:rPr>
                <w:sz w:val="18"/>
                <w:szCs w:val="18"/>
              </w:rPr>
            </w:pPr>
            <w:r>
              <w:rPr>
                <w:sz w:val="18"/>
                <w:szCs w:val="18"/>
              </w:rPr>
              <w:t xml:space="preserve">77.27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+27.2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SERCA (Ca²⁺ re-uptake into ER)</w:t>
            </w:r>
          </w:p>
        </w:tc>
        <w:tc>
          <w:tcPr>
            <w:tcW w:w="1210" w:type="dxa"/>
          </w:tcPr>
          <w:p>
            <w:pPr>
              <w:pStyle w:val="Compact"/>
              <w:suppressLineNumbers/>
              <w:spacing w:before="0" w:after="0" w:line="240" w:lineRule="auto"/>
              <w:jc w:val="left"/>
              <w:rPr>
                <w:sz w:val="18"/>
                <w:szCs w:val="18"/>
              </w:rPr>
            </w:pPr>
            <w:r>
              <w:rPr>
                <w:i/>
                <w:iCs/>
                <w:sz w:val="18"/>
                <w:szCs w:val="18"/>
              </w:rPr>
              <w:t xml:space="preserve">ATP2A1</w:t>
            </w:r>
          </w:p>
        </w:tc>
        <w:tc>
          <w:tcPr>
            <w:tcW w:w="1282" w:type="dxa"/>
          </w:tcPr>
          <w:p>
            <w:pPr>
              <w:pStyle w:val="Compact"/>
              <w:suppressLineNumbers/>
              <w:spacing w:before="0" w:after="0" w:line="240" w:lineRule="auto"/>
              <w:jc w:val="right"/>
              <w:rPr>
                <w:sz w:val="18"/>
                <w:szCs w:val="18"/>
              </w:rPr>
            </w:pPr>
            <w:r>
              <w:rPr>
                <w:sz w:val="18"/>
                <w:szCs w:val="18"/>
              </w:rPr>
              <w:t xml:space="preserve">0.67</w:t>
            </w:r>
          </w:p>
        </w:tc>
        <w:tc>
          <w:tcPr>
            <w:tcW w:w="1353" w:type="dxa"/>
          </w:tcPr>
          <w:p>
            <w:pPr>
              <w:pStyle w:val="Compact"/>
              <w:suppressLineNumbers/>
              <w:spacing w:before="0" w:after="0" w:line="240" w:lineRule="auto"/>
              <w:jc w:val="right"/>
              <w:rPr>
                <w:sz w:val="18"/>
                <w:szCs w:val="18"/>
              </w:rPr>
            </w:pPr>
            <w:r>
              <w:rPr>
                <w:sz w:val="18"/>
                <w:szCs w:val="18"/>
              </w:rPr>
              <w:t xml:space="preserve">0.96</w:t>
            </w:r>
          </w:p>
        </w:tc>
        <w:tc>
          <w:tcPr>
            <w:tcW w:w="1282" w:type="dxa"/>
          </w:tcPr>
          <w:p>
            <w:pPr>
              <w:pStyle w:val="Compact"/>
              <w:suppressLineNumbers/>
              <w:spacing w:before="0" w:after="0" w:line="240" w:lineRule="auto"/>
              <w:jc w:val="right"/>
              <w:rPr>
                <w:sz w:val="18"/>
                <w:szCs w:val="18"/>
              </w:rPr>
            </w:pPr>
            <w:r>
              <w:rPr>
                <w:sz w:val="18"/>
                <w:szCs w:val="18"/>
              </w:rPr>
              <w:t xml:space="preserve">0.58</w:t>
            </w:r>
          </w:p>
        </w:tc>
        <w:tc>
          <w:tcPr>
            <w:tcW w:w="1353" w:type="dxa"/>
          </w:tcPr>
          <w:p>
            <w:pPr>
              <w:pStyle w:val="Compact"/>
              <w:suppressLineNumbers/>
              <w:spacing w:before="0" w:after="0" w:line="240" w:lineRule="auto"/>
              <w:jc w:val="right"/>
              <w:rPr>
                <w:sz w:val="18"/>
                <w:szCs w:val="18"/>
              </w:rPr>
            </w:pPr>
            <w:r>
              <w:rPr>
                <w:sz w:val="18"/>
                <w:szCs w:val="18"/>
              </w:rPr>
              <w:t xml:space="preserve">1.10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+87.8</w:t>
            </w:r>
          </w:p>
        </w:tc>
        <w:tc>
          <w:tcPr>
            <w:tcW w:w="854" w:type="dxa"/>
          </w:tcPr>
          <w:p>
            <w:pPr>
              <w:pStyle w:val="Compact"/>
              <w:suppressLineNumbers/>
              <w:spacing w:before="0" w:after="0" w:line="240" w:lineRule="auto"/>
              <w:jc w:val="right"/>
              <w:rPr>
                <w:sz w:val="18"/>
                <w:szCs w:val="18"/>
              </w:rPr>
            </w:pPr>
            <w:r>
              <w:rPr>
                <w:sz w:val="18"/>
                <w:szCs w:val="18"/>
              </w:rPr>
              <w:t xml:space="preserve">+0.959</w:t>
            </w:r>
          </w:p>
        </w:tc>
        <w:tc>
          <w:tcPr>
            <w:tcW w:w="1210" w:type="dxa"/>
          </w:tcPr>
          <w:p>
            <w:pPr>
              <w:pStyle w:val="Compact"/>
              <w:suppressLineNumbers/>
              <w:spacing w:before="0" w:after="0" w:line="240" w:lineRule="auto"/>
              <w:jc w:val="right"/>
              <w:rPr>
                <w:sz w:val="18"/>
                <w:szCs w:val="18"/>
              </w:rPr>
            </w:pPr>
            <w:r>
              <w:rPr>
                <w:sz w:val="18"/>
                <w:szCs w:val="18"/>
              </w:rPr>
              <w:t xml:space="preserve">0.024</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ATP2A2</w:t>
            </w:r>
          </w:p>
        </w:tc>
        <w:tc>
          <w:tcPr>
            <w:tcW w:w="1282" w:type="dxa"/>
          </w:tcPr>
          <w:p>
            <w:pPr>
              <w:pStyle w:val="Compact"/>
              <w:suppressLineNumbers/>
              <w:spacing w:before="0" w:after="0" w:line="240" w:lineRule="auto"/>
              <w:jc w:val="right"/>
              <w:rPr>
                <w:sz w:val="18"/>
                <w:szCs w:val="18"/>
              </w:rPr>
            </w:pPr>
            <w:r>
              <w:rPr>
                <w:sz w:val="18"/>
                <w:szCs w:val="18"/>
              </w:rPr>
              <w:t xml:space="preserve">162.38</w:t>
            </w:r>
          </w:p>
        </w:tc>
        <w:tc>
          <w:tcPr>
            <w:tcW w:w="1353" w:type="dxa"/>
          </w:tcPr>
          <w:p>
            <w:pPr>
              <w:pStyle w:val="Compact"/>
              <w:suppressLineNumbers/>
              <w:spacing w:before="0" w:after="0" w:line="240" w:lineRule="auto"/>
              <w:jc w:val="right"/>
              <w:rPr>
                <w:sz w:val="18"/>
                <w:szCs w:val="18"/>
              </w:rPr>
            </w:pPr>
            <w:r>
              <w:rPr>
                <w:sz w:val="18"/>
                <w:szCs w:val="18"/>
              </w:rPr>
              <w:t xml:space="preserve">103.10</w:t>
            </w:r>
          </w:p>
        </w:tc>
        <w:tc>
          <w:tcPr>
            <w:tcW w:w="1282" w:type="dxa"/>
          </w:tcPr>
          <w:p>
            <w:pPr>
              <w:pStyle w:val="Compact"/>
              <w:suppressLineNumbers/>
              <w:spacing w:before="0" w:after="0" w:line="240" w:lineRule="auto"/>
              <w:jc w:val="right"/>
              <w:rPr>
                <w:sz w:val="18"/>
                <w:szCs w:val="18"/>
              </w:rPr>
            </w:pPr>
            <w:r>
              <w:rPr>
                <w:sz w:val="18"/>
                <w:szCs w:val="18"/>
              </w:rPr>
              <w:t xml:space="preserve">141.71</w:t>
            </w:r>
          </w:p>
        </w:tc>
        <w:tc>
          <w:tcPr>
            <w:tcW w:w="1353" w:type="dxa"/>
          </w:tcPr>
          <w:p>
            <w:pPr>
              <w:pStyle w:val="Compact"/>
              <w:suppressLineNumbers/>
              <w:spacing w:before="0" w:after="0" w:line="240" w:lineRule="auto"/>
              <w:jc w:val="right"/>
              <w:rPr>
                <w:sz w:val="18"/>
                <w:szCs w:val="18"/>
              </w:rPr>
            </w:pPr>
            <w:r>
              <w:rPr>
                <w:sz w:val="18"/>
                <w:szCs w:val="18"/>
              </w:rPr>
              <w:t xml:space="preserve">117.80</w:t>
            </w:r>
          </w:p>
        </w:tc>
        <w:tc>
          <w:tcPr>
            <w:tcW w:w="1496" w:type="dxa"/>
          </w:tcPr>
          <w:p>
            <w:pPr>
              <w:pStyle w:val="Compact"/>
              <w:suppressLineNumbers/>
              <w:spacing w:before="0" w:after="0" w:line="240" w:lineRule="auto"/>
              <w:jc w:val="right"/>
              <w:rPr>
                <w:sz w:val="18"/>
                <w:szCs w:val="18"/>
              </w:rPr>
            </w:pPr>
            <w:r>
              <w:rPr>
                <w:sz w:val="18"/>
                <w:szCs w:val="18"/>
              </w:rPr>
              <w:t xml:space="preserve">98.1</w:t>
            </w:r>
          </w:p>
        </w:tc>
        <w:tc>
          <w:tcPr>
            <w:tcW w:w="1140" w:type="dxa"/>
          </w:tcPr>
          <w:p>
            <w:pPr>
              <w:pStyle w:val="Compact"/>
              <w:suppressLineNumbers/>
              <w:spacing w:before="0" w:after="0" w:line="240" w:lineRule="auto"/>
              <w:jc w:val="right"/>
              <w:rPr>
                <w:sz w:val="18"/>
                <w:szCs w:val="18"/>
              </w:rPr>
            </w:pPr>
            <w:r>
              <w:rPr>
                <w:sz w:val="18"/>
                <w:szCs w:val="18"/>
              </w:rPr>
              <w:t xml:space="preserve">−16.9</w:t>
            </w:r>
          </w:p>
        </w:tc>
        <w:tc>
          <w:tcPr>
            <w:tcW w:w="854" w:type="dxa"/>
          </w:tcPr>
          <w:p>
            <w:pPr>
              <w:pStyle w:val="Compact"/>
              <w:suppressLineNumbers/>
              <w:spacing w:before="0" w:after="0" w:line="240" w:lineRule="auto"/>
              <w:jc w:val="right"/>
              <w:rPr>
                <w:sz w:val="18"/>
                <w:szCs w:val="18"/>
              </w:rPr>
            </w:pPr>
            <w:r>
              <w:rPr>
                <w:sz w:val="18"/>
                <w:szCs w:val="18"/>
              </w:rPr>
              <w:t xml:space="preserve">−0.247</w:t>
            </w:r>
          </w:p>
        </w:tc>
        <w:tc>
          <w:tcPr>
            <w:tcW w:w="1210" w:type="dxa"/>
          </w:tcPr>
          <w:p>
            <w:pPr>
              <w:pStyle w:val="Compact"/>
              <w:suppressLineNumbers/>
              <w:spacing w:before="0" w:after="0" w:line="240" w:lineRule="auto"/>
              <w:jc w:val="right"/>
              <w:rPr>
                <w:sz w:val="18"/>
                <w:szCs w:val="18"/>
              </w:rPr>
            </w:pPr>
            <w:r>
              <w:rPr>
                <w:sz w:val="18"/>
                <w:szCs w:val="18"/>
              </w:rPr>
              <w:t xml:space="preserve">8.7 × 10⁻⁹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ATP2A3</w:t>
            </w:r>
          </w:p>
        </w:tc>
        <w:tc>
          <w:tcPr>
            <w:tcW w:w="1282" w:type="dxa"/>
          </w:tcPr>
          <w:p>
            <w:pPr>
              <w:pStyle w:val="Compact"/>
              <w:suppressLineNumbers/>
              <w:spacing w:before="0" w:after="0" w:line="240" w:lineRule="auto"/>
              <w:jc w:val="right"/>
              <w:rPr>
                <w:sz w:val="18"/>
                <w:szCs w:val="18"/>
              </w:rPr>
            </w:pPr>
            <w:r>
              <w:rPr>
                <w:sz w:val="18"/>
                <w:szCs w:val="18"/>
              </w:rPr>
              <w:t xml:space="preserve">2.40</w:t>
            </w:r>
          </w:p>
        </w:tc>
        <w:tc>
          <w:tcPr>
            <w:tcW w:w="1353" w:type="dxa"/>
          </w:tcPr>
          <w:p>
            <w:pPr>
              <w:pStyle w:val="Compact"/>
              <w:suppressLineNumbers/>
              <w:spacing w:before="0" w:after="0" w:line="240" w:lineRule="auto"/>
              <w:jc w:val="right"/>
              <w:rPr>
                <w:sz w:val="18"/>
                <w:szCs w:val="18"/>
              </w:rPr>
            </w:pPr>
            <w:r>
              <w:rPr>
                <w:sz w:val="18"/>
                <w:szCs w:val="18"/>
              </w:rPr>
              <w:t xml:space="preserve">7.64</w:t>
            </w:r>
          </w:p>
        </w:tc>
        <w:tc>
          <w:tcPr>
            <w:tcW w:w="1282" w:type="dxa"/>
          </w:tcPr>
          <w:p>
            <w:pPr>
              <w:pStyle w:val="Compact"/>
              <w:suppressLineNumbers/>
              <w:spacing w:before="0" w:after="0" w:line="240" w:lineRule="auto"/>
              <w:jc w:val="right"/>
              <w:rPr>
                <w:sz w:val="18"/>
                <w:szCs w:val="18"/>
              </w:rPr>
            </w:pPr>
            <w:r>
              <w:rPr>
                <w:sz w:val="18"/>
                <w:szCs w:val="18"/>
              </w:rPr>
              <w:t xml:space="preserve">2.09</w:t>
            </w:r>
          </w:p>
        </w:tc>
        <w:tc>
          <w:tcPr>
            <w:tcW w:w="1353" w:type="dxa"/>
          </w:tcPr>
          <w:p>
            <w:pPr>
              <w:pStyle w:val="Compact"/>
              <w:suppressLineNumbers/>
              <w:spacing w:before="0" w:after="0" w:line="240" w:lineRule="auto"/>
              <w:jc w:val="right"/>
              <w:rPr>
                <w:sz w:val="18"/>
                <w:szCs w:val="18"/>
              </w:rPr>
            </w:pPr>
            <w:r>
              <w:rPr>
                <w:sz w:val="18"/>
                <w:szCs w:val="18"/>
              </w:rPr>
              <w:t xml:space="preserve">8.73</w:t>
            </w:r>
          </w:p>
        </w:tc>
        <w:tc>
          <w:tcPr>
            <w:tcW w:w="1496" w:type="dxa"/>
          </w:tcPr>
          <w:p>
            <w:pPr>
              <w:pStyle w:val="Compact"/>
              <w:suppressLineNumbers/>
              <w:spacing w:before="0" w:after="0" w:line="240" w:lineRule="auto"/>
              <w:jc w:val="right"/>
              <w:rPr>
                <w:sz w:val="18"/>
                <w:szCs w:val="18"/>
              </w:rPr>
            </w:pPr>
            <w:r>
              <w:rPr>
                <w:sz w:val="18"/>
                <w:szCs w:val="18"/>
              </w:rPr>
              <w:t xml:space="preserve">1.5</w:t>
            </w:r>
          </w:p>
        </w:tc>
        <w:tc>
          <w:tcPr>
            <w:tcW w:w="1140" w:type="dxa"/>
          </w:tcPr>
          <w:p>
            <w:pPr>
              <w:pStyle w:val="Compact"/>
              <w:suppressLineNumbers/>
              <w:spacing w:before="0" w:after="0" w:line="240" w:lineRule="auto"/>
              <w:jc w:val="right"/>
              <w:rPr>
                <w:sz w:val="18"/>
                <w:szCs w:val="18"/>
              </w:rPr>
            </w:pPr>
            <w:r>
              <w:rPr>
                <w:sz w:val="18"/>
                <w:szCs w:val="18"/>
              </w:rPr>
              <w:t xml:space="preserve">+317.0</w:t>
            </w:r>
          </w:p>
        </w:tc>
        <w:tc>
          <w:tcPr>
            <w:tcW w:w="854" w:type="dxa"/>
          </w:tcPr>
          <w:p>
            <w:pPr>
              <w:pStyle w:val="Compact"/>
              <w:suppressLineNumbers/>
              <w:spacing w:before="0" w:after="0" w:line="240" w:lineRule="auto"/>
              <w:jc w:val="right"/>
              <w:rPr>
                <w:sz w:val="18"/>
                <w:szCs w:val="18"/>
              </w:rPr>
            </w:pPr>
            <w:r>
              <w:rPr>
                <w:sz w:val="18"/>
                <w:szCs w:val="18"/>
              </w:rPr>
              <w:t xml:space="preserve">+1.306</w:t>
            </w:r>
          </w:p>
        </w:tc>
        <w:tc>
          <w:tcPr>
            <w:tcW w:w="1210" w:type="dxa"/>
          </w:tcPr>
          <w:p>
            <w:pPr>
              <w:pStyle w:val="Compact"/>
              <w:suppressLineNumbers/>
              <w:spacing w:before="0" w:after="0" w:line="240" w:lineRule="auto"/>
              <w:jc w:val="right"/>
              <w:rPr>
                <w:sz w:val="18"/>
                <w:szCs w:val="18"/>
              </w:rPr>
            </w:pPr>
            <w:r>
              <w:rPr>
                <w:sz w:val="18"/>
                <w:szCs w:val="18"/>
              </w:rPr>
              <w:t xml:space="preserve">1.4 × 10⁻²⁹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165.45</w:t>
            </w:r>
          </w:p>
        </w:tc>
        <w:tc>
          <w:tcPr>
            <w:tcW w:w="1353" w:type="dxa"/>
          </w:tcPr>
          <w:p>
            <w:pPr>
              <w:pStyle w:val="Compact"/>
              <w:suppressLineNumbers/>
              <w:spacing w:before="0" w:after="0" w:line="240" w:lineRule="auto"/>
              <w:jc w:val="right"/>
              <w:rPr>
                <w:sz w:val="18"/>
                <w:szCs w:val="18"/>
              </w:rPr>
            </w:pPr>
            <w:r>
              <w:rPr>
                <w:sz w:val="18"/>
                <w:szCs w:val="18"/>
              </w:rPr>
              <w:t xml:space="preserve">111.70</w:t>
            </w:r>
          </w:p>
        </w:tc>
        <w:tc>
          <w:tcPr>
            <w:tcW w:w="1282" w:type="dxa"/>
          </w:tcPr>
          <w:p>
            <w:pPr>
              <w:pStyle w:val="Compact"/>
              <w:suppressLineNumbers/>
              <w:spacing w:before="0" w:after="0" w:line="240" w:lineRule="auto"/>
              <w:jc w:val="right"/>
              <w:rPr>
                <w:sz w:val="18"/>
                <w:szCs w:val="18"/>
              </w:rPr>
            </w:pPr>
            <w:r>
              <w:rPr>
                <w:sz w:val="18"/>
                <w:szCs w:val="18"/>
              </w:rPr>
              <w:t xml:space="preserve">144.39</w:t>
            </w:r>
          </w:p>
        </w:tc>
        <w:tc>
          <w:tcPr>
            <w:tcW w:w="1353" w:type="dxa"/>
          </w:tcPr>
          <w:p>
            <w:pPr>
              <w:pStyle w:val="Compact"/>
              <w:suppressLineNumbers/>
              <w:spacing w:before="0" w:after="0" w:line="240" w:lineRule="auto"/>
              <w:jc w:val="right"/>
              <w:rPr>
                <w:sz w:val="18"/>
                <w:szCs w:val="18"/>
              </w:rPr>
            </w:pPr>
            <w:r>
              <w:rPr>
                <w:sz w:val="18"/>
                <w:szCs w:val="18"/>
              </w:rPr>
              <w:t xml:space="preserve">127.63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−11.6</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TRPC</w:t>
            </w:r>
          </w:p>
        </w:tc>
        <w:tc>
          <w:tcPr>
            <w:tcW w:w="1210" w:type="dxa"/>
          </w:tcPr>
          <w:p>
            <w:pPr>
              <w:pStyle w:val="Compact"/>
              <w:suppressLineNumbers/>
              <w:spacing w:before="0" w:after="0" w:line="240" w:lineRule="auto"/>
              <w:jc w:val="left"/>
              <w:rPr>
                <w:sz w:val="18"/>
                <w:szCs w:val="18"/>
              </w:rPr>
            </w:pPr>
            <w:r>
              <w:rPr>
                <w:b/>
                <w:bCs/>
                <w:i/>
                <w:iCs/>
                <w:sz w:val="18"/>
                <w:szCs w:val="18"/>
              </w:rPr>
              <w:t xml:space="preserve">TRPC1</w:t>
            </w:r>
          </w:p>
        </w:tc>
        <w:tc>
          <w:tcPr>
            <w:tcW w:w="1282" w:type="dxa"/>
          </w:tcPr>
          <w:p>
            <w:pPr>
              <w:pStyle w:val="Compact"/>
              <w:suppressLineNumbers/>
              <w:spacing w:before="0" w:after="0" w:line="240" w:lineRule="auto"/>
              <w:jc w:val="right"/>
              <w:rPr>
                <w:sz w:val="18"/>
                <w:szCs w:val="18"/>
              </w:rPr>
            </w:pPr>
            <w:r>
              <w:rPr>
                <w:sz w:val="18"/>
                <w:szCs w:val="18"/>
              </w:rPr>
              <w:t xml:space="preserve">4.34</w:t>
            </w:r>
          </w:p>
        </w:tc>
        <w:tc>
          <w:tcPr>
            <w:tcW w:w="1353" w:type="dxa"/>
          </w:tcPr>
          <w:p>
            <w:pPr>
              <w:pStyle w:val="Compact"/>
              <w:suppressLineNumbers/>
              <w:spacing w:before="0" w:after="0" w:line="240" w:lineRule="auto"/>
              <w:jc w:val="right"/>
              <w:rPr>
                <w:sz w:val="18"/>
                <w:szCs w:val="18"/>
              </w:rPr>
            </w:pPr>
            <w:r>
              <w:rPr>
                <w:sz w:val="18"/>
                <w:szCs w:val="18"/>
              </w:rPr>
              <w:t xml:space="preserve">6.06</w:t>
            </w:r>
          </w:p>
        </w:tc>
        <w:tc>
          <w:tcPr>
            <w:tcW w:w="1282" w:type="dxa"/>
          </w:tcPr>
          <w:p>
            <w:pPr>
              <w:pStyle w:val="Compact"/>
              <w:suppressLineNumbers/>
              <w:spacing w:before="0" w:after="0" w:line="240" w:lineRule="auto"/>
              <w:jc w:val="right"/>
              <w:rPr>
                <w:sz w:val="18"/>
                <w:szCs w:val="18"/>
              </w:rPr>
            </w:pPr>
            <w:r>
              <w:rPr>
                <w:sz w:val="18"/>
                <w:szCs w:val="18"/>
              </w:rPr>
              <w:t xml:space="preserve">3.79</w:t>
            </w:r>
          </w:p>
        </w:tc>
        <w:tc>
          <w:tcPr>
            <w:tcW w:w="1353" w:type="dxa"/>
          </w:tcPr>
          <w:p>
            <w:pPr>
              <w:pStyle w:val="Compact"/>
              <w:suppressLineNumbers/>
              <w:spacing w:before="0" w:after="0" w:line="240" w:lineRule="auto"/>
              <w:jc w:val="right"/>
              <w:rPr>
                <w:sz w:val="18"/>
                <w:szCs w:val="18"/>
              </w:rPr>
            </w:pPr>
            <w:r>
              <w:rPr>
                <w:sz w:val="18"/>
                <w:szCs w:val="18"/>
              </w:rPr>
              <w:t xml:space="preserve">6.92</w:t>
            </w:r>
          </w:p>
        </w:tc>
        <w:tc>
          <w:tcPr>
            <w:tcW w:w="1496" w:type="dxa"/>
          </w:tcPr>
          <w:p>
            <w:pPr>
              <w:pStyle w:val="Compact"/>
              <w:suppressLineNumbers/>
              <w:spacing w:before="0" w:after="0" w:line="240" w:lineRule="auto"/>
              <w:jc w:val="right"/>
              <w:rPr>
                <w:sz w:val="18"/>
                <w:szCs w:val="18"/>
              </w:rPr>
            </w:pPr>
            <w:r>
              <w:rPr>
                <w:sz w:val="18"/>
                <w:szCs w:val="18"/>
              </w:rPr>
              <w:t xml:space="preserve">98.2</w:t>
            </w:r>
          </w:p>
        </w:tc>
        <w:tc>
          <w:tcPr>
            <w:tcW w:w="1140" w:type="dxa"/>
          </w:tcPr>
          <w:p>
            <w:pPr>
              <w:pStyle w:val="Compact"/>
              <w:suppressLineNumbers/>
              <w:spacing w:before="0" w:after="0" w:line="240" w:lineRule="auto"/>
              <w:jc w:val="right"/>
              <w:rPr>
                <w:sz w:val="18"/>
                <w:szCs w:val="18"/>
              </w:rPr>
            </w:pPr>
            <w:r>
              <w:rPr>
                <w:sz w:val="18"/>
                <w:szCs w:val="18"/>
              </w:rPr>
              <w:t xml:space="preserve">+82.9</w:t>
            </w:r>
          </w:p>
        </w:tc>
        <w:tc>
          <w:tcPr>
            <w:tcW w:w="854" w:type="dxa"/>
          </w:tcPr>
          <w:p>
            <w:pPr>
              <w:pStyle w:val="Compact"/>
              <w:suppressLineNumbers/>
              <w:spacing w:before="0" w:after="0" w:line="240" w:lineRule="auto"/>
              <w:jc w:val="right"/>
              <w:rPr>
                <w:sz w:val="18"/>
                <w:szCs w:val="18"/>
              </w:rPr>
            </w:pPr>
            <w:r>
              <w:rPr>
                <w:sz w:val="18"/>
                <w:szCs w:val="18"/>
              </w:rPr>
              <w:t xml:space="preserve">+0.958</w:t>
            </w:r>
          </w:p>
        </w:tc>
        <w:tc>
          <w:tcPr>
            <w:tcW w:w="1210" w:type="dxa"/>
          </w:tcPr>
          <w:p>
            <w:pPr>
              <w:pStyle w:val="Compact"/>
              <w:suppressLineNumbers/>
              <w:spacing w:before="0" w:after="0" w:line="240" w:lineRule="auto"/>
              <w:jc w:val="right"/>
              <w:rPr>
                <w:sz w:val="18"/>
                <w:szCs w:val="18"/>
              </w:rPr>
            </w:pPr>
            <w:r>
              <w:rPr>
                <w:sz w:val="18"/>
                <w:szCs w:val="18"/>
              </w:rPr>
              <w:t xml:space="preserve">1.3 × 10⁻¹²</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TRPC3</w:t>
            </w:r>
          </w:p>
        </w:tc>
        <w:tc>
          <w:tcPr>
            <w:tcW w:w="1282" w:type="dxa"/>
          </w:tcPr>
          <w:p>
            <w:pPr>
              <w:pStyle w:val="Compact"/>
              <w:suppressLineNumbers/>
              <w:spacing w:before="0" w:after="0" w:line="240" w:lineRule="auto"/>
              <w:jc w:val="right"/>
              <w:rPr>
                <w:sz w:val="18"/>
                <w:szCs w:val="18"/>
              </w:rPr>
            </w:pPr>
            <w:r>
              <w:rPr>
                <w:sz w:val="18"/>
                <w:szCs w:val="18"/>
              </w:rPr>
              <w:t xml:space="preserve">0.06</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282" w:type="dxa"/>
          </w:tcPr>
          <w:p>
            <w:pPr>
              <w:pStyle w:val="Compact"/>
              <w:suppressLineNumbers/>
              <w:spacing w:before="0" w:after="0" w:line="240" w:lineRule="auto"/>
              <w:jc w:val="right"/>
              <w:rPr>
                <w:sz w:val="18"/>
                <w:szCs w:val="18"/>
              </w:rPr>
            </w:pPr>
            <w:r>
              <w:rPr>
                <w:sz w:val="18"/>
                <w:szCs w:val="18"/>
              </w:rPr>
              <w:t xml:space="preserve">0.05</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496" w:type="dxa"/>
          </w:tcPr>
          <w:p>
            <w:pPr>
              <w:pStyle w:val="Compact"/>
              <w:suppressLineNumbers/>
              <w:spacing w:before="0" w:after="0" w:line="240" w:lineRule="auto"/>
              <w:jc w:val="right"/>
              <w:rPr>
                <w:sz w:val="18"/>
                <w:szCs w:val="18"/>
              </w:rPr>
            </w:pPr>
            <w:r>
              <w:rPr>
                <w:sz w:val="18"/>
                <w:szCs w:val="18"/>
              </w:rPr>
              <w:t xml:space="preserve">1.3</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−0.938</w:t>
            </w:r>
          </w:p>
        </w:tc>
        <w:tc>
          <w:tcPr>
            <w:tcW w:w="1210" w:type="dxa"/>
          </w:tcPr>
          <w:p>
            <w:pPr>
              <w:pStyle w:val="Compact"/>
              <w:suppressLineNumbers/>
              <w:spacing w:before="0" w:after="0" w:line="240" w:lineRule="auto"/>
              <w:jc w:val="right"/>
              <w:rPr>
                <w:sz w:val="18"/>
                <w:szCs w:val="18"/>
              </w:rPr>
            </w:pPr>
            <w:r>
              <w:rPr>
                <w:sz w:val="18"/>
                <w:szCs w:val="18"/>
              </w:rPr>
              <w:t xml:space="preserve">0.47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TRPC4</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0.0</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TRPC5</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−1.633</w:t>
            </w:r>
          </w:p>
        </w:tc>
        <w:tc>
          <w:tcPr>
            <w:tcW w:w="1210" w:type="dxa"/>
          </w:tcPr>
          <w:p>
            <w:pPr>
              <w:pStyle w:val="Compact"/>
              <w:suppressLineNumbers/>
              <w:spacing w:before="0" w:after="0" w:line="240" w:lineRule="auto"/>
              <w:jc w:val="right"/>
              <w:rPr>
                <w:sz w:val="18"/>
                <w:szCs w:val="18"/>
              </w:rPr>
            </w:pPr>
            <w:r>
              <w:rPr>
                <w:sz w:val="18"/>
                <w:szCs w:val="18"/>
              </w:rPr>
              <w:t xml:space="preserve">0.45</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TRPC6</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0.1</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4.42</w:t>
            </w:r>
          </w:p>
        </w:tc>
        <w:tc>
          <w:tcPr>
            <w:tcW w:w="1353" w:type="dxa"/>
          </w:tcPr>
          <w:p>
            <w:pPr>
              <w:pStyle w:val="Compact"/>
              <w:suppressLineNumbers/>
              <w:spacing w:before="0" w:after="0" w:line="240" w:lineRule="auto"/>
              <w:jc w:val="right"/>
              <w:rPr>
                <w:sz w:val="18"/>
                <w:szCs w:val="18"/>
              </w:rPr>
            </w:pPr>
            <w:r>
              <w:rPr>
                <w:sz w:val="18"/>
                <w:szCs w:val="18"/>
              </w:rPr>
              <w:t xml:space="preserve">6.08</w:t>
            </w:r>
          </w:p>
        </w:tc>
        <w:tc>
          <w:tcPr>
            <w:tcW w:w="1282" w:type="dxa"/>
          </w:tcPr>
          <w:p>
            <w:pPr>
              <w:pStyle w:val="Compact"/>
              <w:suppressLineNumbers/>
              <w:spacing w:before="0" w:after="0" w:line="240" w:lineRule="auto"/>
              <w:jc w:val="right"/>
              <w:rPr>
                <w:sz w:val="18"/>
                <w:szCs w:val="18"/>
              </w:rPr>
            </w:pPr>
            <w:r>
              <w:rPr>
                <w:sz w:val="18"/>
                <w:szCs w:val="18"/>
              </w:rPr>
              <w:t xml:space="preserve">3.86</w:t>
            </w:r>
          </w:p>
        </w:tc>
        <w:tc>
          <w:tcPr>
            <w:tcW w:w="1353" w:type="dxa"/>
          </w:tcPr>
          <w:p>
            <w:pPr>
              <w:pStyle w:val="Compact"/>
              <w:suppressLineNumbers/>
              <w:spacing w:before="0" w:after="0" w:line="240" w:lineRule="auto"/>
              <w:jc w:val="right"/>
              <w:rPr>
                <w:sz w:val="18"/>
                <w:szCs w:val="18"/>
              </w:rPr>
            </w:pPr>
            <w:r>
              <w:rPr>
                <w:sz w:val="18"/>
                <w:szCs w:val="18"/>
              </w:rPr>
              <w:t xml:space="preserve">6.95</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+80.3</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SOCE regulators</w:t>
            </w:r>
          </w:p>
        </w:tc>
        <w:tc>
          <w:tcPr>
            <w:tcW w:w="1210" w:type="dxa"/>
          </w:tcPr>
          <w:p>
            <w:pPr>
              <w:pStyle w:val="Compact"/>
              <w:suppressLineNumbers/>
              <w:spacing w:before="0" w:after="0" w:line="240" w:lineRule="auto"/>
              <w:jc w:val="left"/>
              <w:rPr>
                <w:sz w:val="18"/>
                <w:szCs w:val="18"/>
              </w:rPr>
            </w:pPr>
            <w:r>
              <w:rPr>
                <w:b/>
                <w:bCs/>
                <w:i/>
                <w:iCs/>
                <w:sz w:val="18"/>
                <w:szCs w:val="18"/>
              </w:rPr>
              <w:t xml:space="preserve">SARAF</w:t>
            </w:r>
          </w:p>
        </w:tc>
        <w:tc>
          <w:tcPr>
            <w:tcW w:w="1282" w:type="dxa"/>
          </w:tcPr>
          <w:p>
            <w:pPr>
              <w:pStyle w:val="Compact"/>
              <w:suppressLineNumbers/>
              <w:spacing w:before="0" w:after="0" w:line="240" w:lineRule="auto"/>
              <w:jc w:val="right"/>
              <w:rPr>
                <w:sz w:val="18"/>
                <w:szCs w:val="18"/>
              </w:rPr>
            </w:pPr>
            <w:r>
              <w:rPr>
                <w:sz w:val="18"/>
                <w:szCs w:val="18"/>
              </w:rPr>
              <w:t xml:space="preserve">179.27</w:t>
            </w:r>
          </w:p>
        </w:tc>
        <w:tc>
          <w:tcPr>
            <w:tcW w:w="1353" w:type="dxa"/>
          </w:tcPr>
          <w:p>
            <w:pPr>
              <w:pStyle w:val="Compact"/>
              <w:suppressLineNumbers/>
              <w:spacing w:before="0" w:after="0" w:line="240" w:lineRule="auto"/>
              <w:jc w:val="right"/>
              <w:rPr>
                <w:sz w:val="18"/>
                <w:szCs w:val="18"/>
              </w:rPr>
            </w:pPr>
            <w:r>
              <w:rPr>
                <w:sz w:val="18"/>
                <w:szCs w:val="18"/>
              </w:rPr>
              <w:t xml:space="preserve">191.68</w:t>
            </w:r>
          </w:p>
        </w:tc>
        <w:tc>
          <w:tcPr>
            <w:tcW w:w="1282" w:type="dxa"/>
          </w:tcPr>
          <w:p>
            <w:pPr>
              <w:pStyle w:val="Compact"/>
              <w:suppressLineNumbers/>
              <w:spacing w:before="0" w:after="0" w:line="240" w:lineRule="auto"/>
              <w:jc w:val="right"/>
              <w:rPr>
                <w:sz w:val="18"/>
                <w:szCs w:val="18"/>
              </w:rPr>
            </w:pPr>
            <w:r>
              <w:rPr>
                <w:sz w:val="18"/>
                <w:szCs w:val="18"/>
              </w:rPr>
              <w:t xml:space="preserve">156.45</w:t>
            </w:r>
          </w:p>
        </w:tc>
        <w:tc>
          <w:tcPr>
            <w:tcW w:w="1353" w:type="dxa"/>
          </w:tcPr>
          <w:p>
            <w:pPr>
              <w:pStyle w:val="Compact"/>
              <w:suppressLineNumbers/>
              <w:spacing w:before="0" w:after="0" w:line="240" w:lineRule="auto"/>
              <w:jc w:val="right"/>
              <w:rPr>
                <w:sz w:val="18"/>
                <w:szCs w:val="18"/>
              </w:rPr>
            </w:pPr>
            <w:r>
              <w:rPr>
                <w:sz w:val="18"/>
                <w:szCs w:val="18"/>
              </w:rPr>
              <w:t xml:space="preserve">218.99</w:t>
            </w:r>
          </w:p>
        </w:tc>
        <w:tc>
          <w:tcPr>
            <w:tcW w:w="1496" w:type="dxa"/>
          </w:tcPr>
          <w:p>
            <w:pPr>
              <w:pStyle w:val="Compact"/>
              <w:suppressLineNumbers/>
              <w:spacing w:before="0" w:after="0" w:line="240" w:lineRule="auto"/>
              <w:jc w:val="right"/>
              <w:rPr>
                <w:sz w:val="18"/>
                <w:szCs w:val="18"/>
              </w:rPr>
            </w:pPr>
            <w:r>
              <w:rPr>
                <w:sz w:val="18"/>
                <w:szCs w:val="18"/>
              </w:rPr>
              <w:t xml:space="preserve">82.4</w:t>
            </w:r>
          </w:p>
        </w:tc>
        <w:tc>
          <w:tcPr>
            <w:tcW w:w="1140" w:type="dxa"/>
          </w:tcPr>
          <w:p>
            <w:pPr>
              <w:pStyle w:val="Compact"/>
              <w:suppressLineNumbers/>
              <w:spacing w:before="0" w:after="0" w:line="240" w:lineRule="auto"/>
              <w:jc w:val="right"/>
              <w:rPr>
                <w:sz w:val="18"/>
                <w:szCs w:val="18"/>
              </w:rPr>
            </w:pPr>
            <w:r>
              <w:rPr>
                <w:sz w:val="18"/>
                <w:szCs w:val="18"/>
              </w:rPr>
              <w:t xml:space="preserve">+40.0</w:t>
            </w:r>
          </w:p>
        </w:tc>
        <w:tc>
          <w:tcPr>
            <w:tcW w:w="854" w:type="dxa"/>
          </w:tcPr>
          <w:p>
            <w:pPr>
              <w:pStyle w:val="Compact"/>
              <w:suppressLineNumbers/>
              <w:spacing w:before="0" w:after="0" w:line="240" w:lineRule="auto"/>
              <w:jc w:val="right"/>
              <w:rPr>
                <w:sz w:val="18"/>
                <w:szCs w:val="18"/>
              </w:rPr>
            </w:pPr>
            <w:r>
              <w:rPr>
                <w:sz w:val="18"/>
                <w:szCs w:val="18"/>
              </w:rPr>
              <w:t xml:space="preserve">+0.548</w:t>
            </w:r>
          </w:p>
        </w:tc>
        <w:tc>
          <w:tcPr>
            <w:tcW w:w="1210" w:type="dxa"/>
          </w:tcPr>
          <w:p>
            <w:pPr>
              <w:pStyle w:val="Compact"/>
              <w:suppressLineNumbers/>
              <w:spacing w:before="0" w:after="0" w:line="240" w:lineRule="auto"/>
              <w:jc w:val="right"/>
              <w:rPr>
                <w:sz w:val="18"/>
                <w:szCs w:val="18"/>
              </w:rPr>
            </w:pPr>
            <w:r>
              <w:rPr>
                <w:sz w:val="18"/>
                <w:szCs w:val="18"/>
              </w:rPr>
              <w:t xml:space="preserve">5.9 × 10⁻³⁷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STIMATE</w:t>
            </w:r>
          </w:p>
        </w:tc>
        <w:tc>
          <w:tcPr>
            <w:tcW w:w="1282" w:type="dxa"/>
          </w:tcPr>
          <w:p>
            <w:pPr>
              <w:pStyle w:val="Compact"/>
              <w:suppressLineNumbers/>
              <w:spacing w:before="0" w:after="0" w:line="240" w:lineRule="auto"/>
              <w:jc w:val="right"/>
              <w:rPr>
                <w:sz w:val="18"/>
                <w:szCs w:val="18"/>
              </w:rPr>
            </w:pPr>
            <w:r>
              <w:rPr>
                <w:sz w:val="18"/>
                <w:szCs w:val="18"/>
              </w:rPr>
              <w:t xml:space="preserve">14.31</w:t>
            </w:r>
          </w:p>
        </w:tc>
        <w:tc>
          <w:tcPr>
            <w:tcW w:w="1353" w:type="dxa"/>
          </w:tcPr>
          <w:p>
            <w:pPr>
              <w:pStyle w:val="Compact"/>
              <w:suppressLineNumbers/>
              <w:spacing w:before="0" w:after="0" w:line="240" w:lineRule="auto"/>
              <w:jc w:val="right"/>
              <w:rPr>
                <w:sz w:val="18"/>
                <w:szCs w:val="18"/>
              </w:rPr>
            </w:pPr>
            <w:r>
              <w:rPr>
                <w:sz w:val="18"/>
                <w:szCs w:val="18"/>
              </w:rPr>
              <w:t xml:space="preserve">12.01</w:t>
            </w:r>
          </w:p>
        </w:tc>
        <w:tc>
          <w:tcPr>
            <w:tcW w:w="1282" w:type="dxa"/>
          </w:tcPr>
          <w:p>
            <w:pPr>
              <w:pStyle w:val="Compact"/>
              <w:suppressLineNumbers/>
              <w:spacing w:before="0" w:after="0" w:line="240" w:lineRule="auto"/>
              <w:jc w:val="right"/>
              <w:rPr>
                <w:sz w:val="18"/>
                <w:szCs w:val="18"/>
              </w:rPr>
            </w:pPr>
            <w:r>
              <w:rPr>
                <w:sz w:val="18"/>
                <w:szCs w:val="18"/>
              </w:rPr>
              <w:t xml:space="preserve">12.49</w:t>
            </w:r>
          </w:p>
        </w:tc>
        <w:tc>
          <w:tcPr>
            <w:tcW w:w="1353" w:type="dxa"/>
          </w:tcPr>
          <w:p>
            <w:pPr>
              <w:pStyle w:val="Compact"/>
              <w:suppressLineNumbers/>
              <w:spacing w:before="0" w:after="0" w:line="240" w:lineRule="auto"/>
              <w:jc w:val="right"/>
              <w:rPr>
                <w:sz w:val="18"/>
                <w:szCs w:val="18"/>
              </w:rPr>
            </w:pPr>
            <w:r>
              <w:rPr>
                <w:sz w:val="18"/>
                <w:szCs w:val="18"/>
              </w:rPr>
              <w:t xml:space="preserve">13.72</w:t>
            </w:r>
          </w:p>
        </w:tc>
        <w:tc>
          <w:tcPr>
            <w:tcW w:w="1496" w:type="dxa"/>
          </w:tcPr>
          <w:p>
            <w:pPr>
              <w:pStyle w:val="Compact"/>
              <w:suppressLineNumbers/>
              <w:spacing w:before="0" w:after="0" w:line="240" w:lineRule="auto"/>
              <w:jc w:val="right"/>
              <w:rPr>
                <w:sz w:val="18"/>
                <w:szCs w:val="18"/>
              </w:rPr>
            </w:pPr>
            <w:r>
              <w:rPr>
                <w:sz w:val="18"/>
                <w:szCs w:val="18"/>
              </w:rPr>
              <w:t xml:space="preserve">6.6</w:t>
            </w:r>
          </w:p>
        </w:tc>
        <w:tc>
          <w:tcPr>
            <w:tcW w:w="1140" w:type="dxa"/>
          </w:tcPr>
          <w:p>
            <w:pPr>
              <w:pStyle w:val="Compact"/>
              <w:suppressLineNumbers/>
              <w:spacing w:before="0" w:after="0" w:line="240" w:lineRule="auto"/>
              <w:jc w:val="right"/>
              <w:rPr>
                <w:sz w:val="18"/>
                <w:szCs w:val="18"/>
              </w:rPr>
            </w:pPr>
            <w:r>
              <w:rPr>
                <w:sz w:val="18"/>
                <w:szCs w:val="18"/>
              </w:rPr>
              <w:t xml:space="preserve">+9.9</w:t>
            </w:r>
          </w:p>
        </w:tc>
        <w:tc>
          <w:tcPr>
            <w:tcW w:w="854" w:type="dxa"/>
          </w:tcPr>
          <w:p>
            <w:pPr>
              <w:pStyle w:val="Compact"/>
              <w:suppressLineNumbers/>
              <w:spacing w:before="0" w:after="0" w:line="240" w:lineRule="auto"/>
              <w:jc w:val="right"/>
              <w:rPr>
                <w:sz w:val="18"/>
                <w:szCs w:val="18"/>
              </w:rPr>
            </w:pPr>
            <w:r>
              <w:rPr>
                <w:sz w:val="18"/>
                <w:szCs w:val="18"/>
              </w:rPr>
              <w:t xml:space="preserve">−0.050</w:t>
            </w:r>
          </w:p>
        </w:tc>
        <w:tc>
          <w:tcPr>
            <w:tcW w:w="1210" w:type="dxa"/>
          </w:tcPr>
          <w:p>
            <w:pPr>
              <w:pStyle w:val="Compact"/>
              <w:suppressLineNumbers/>
              <w:spacing w:before="0" w:after="0" w:line="240" w:lineRule="auto"/>
              <w:jc w:val="right"/>
              <w:rPr>
                <w:sz w:val="18"/>
                <w:szCs w:val="18"/>
              </w:rPr>
            </w:pPr>
            <w:r>
              <w:rPr>
                <w:sz w:val="18"/>
                <w:szCs w:val="18"/>
              </w:rPr>
              <w:t xml:space="preserve">0.72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CRACR2A</w:t>
            </w:r>
          </w:p>
        </w:tc>
        <w:tc>
          <w:tcPr>
            <w:tcW w:w="1282" w:type="dxa"/>
          </w:tcPr>
          <w:p>
            <w:pPr>
              <w:pStyle w:val="Compact"/>
              <w:suppressLineNumbers/>
              <w:spacing w:before="0" w:after="0" w:line="240" w:lineRule="auto"/>
              <w:jc w:val="right"/>
              <w:rPr>
                <w:sz w:val="18"/>
                <w:szCs w:val="18"/>
              </w:rPr>
            </w:pPr>
            <w:r>
              <w:rPr>
                <w:sz w:val="18"/>
                <w:szCs w:val="18"/>
              </w:rPr>
              <w:t xml:space="preserve">8.31</w:t>
            </w:r>
          </w:p>
        </w:tc>
        <w:tc>
          <w:tcPr>
            <w:tcW w:w="1353" w:type="dxa"/>
          </w:tcPr>
          <w:p>
            <w:pPr>
              <w:pStyle w:val="Compact"/>
              <w:suppressLineNumbers/>
              <w:spacing w:before="0" w:after="0" w:line="240" w:lineRule="auto"/>
              <w:jc w:val="right"/>
              <w:rPr>
                <w:sz w:val="18"/>
                <w:szCs w:val="18"/>
              </w:rPr>
            </w:pPr>
            <w:r>
              <w:rPr>
                <w:sz w:val="18"/>
                <w:szCs w:val="18"/>
              </w:rPr>
              <w:t xml:space="preserve">4.35</w:t>
            </w:r>
          </w:p>
        </w:tc>
        <w:tc>
          <w:tcPr>
            <w:tcW w:w="1282" w:type="dxa"/>
          </w:tcPr>
          <w:p>
            <w:pPr>
              <w:pStyle w:val="Compact"/>
              <w:suppressLineNumbers/>
              <w:spacing w:before="0" w:after="0" w:line="240" w:lineRule="auto"/>
              <w:jc w:val="right"/>
              <w:rPr>
                <w:sz w:val="18"/>
                <w:szCs w:val="18"/>
              </w:rPr>
            </w:pPr>
            <w:r>
              <w:rPr>
                <w:sz w:val="18"/>
                <w:szCs w:val="18"/>
              </w:rPr>
              <w:t xml:space="preserve">7.25</w:t>
            </w:r>
          </w:p>
        </w:tc>
        <w:tc>
          <w:tcPr>
            <w:tcW w:w="1353" w:type="dxa"/>
          </w:tcPr>
          <w:p>
            <w:pPr>
              <w:pStyle w:val="Compact"/>
              <w:suppressLineNumbers/>
              <w:spacing w:before="0" w:after="0" w:line="240" w:lineRule="auto"/>
              <w:jc w:val="right"/>
              <w:rPr>
                <w:sz w:val="18"/>
                <w:szCs w:val="18"/>
              </w:rPr>
            </w:pPr>
            <w:r>
              <w:rPr>
                <w:sz w:val="18"/>
                <w:szCs w:val="18"/>
              </w:rPr>
              <w:t xml:space="preserve">4.97</w:t>
            </w:r>
          </w:p>
        </w:tc>
        <w:tc>
          <w:tcPr>
            <w:tcW w:w="1496" w:type="dxa"/>
          </w:tcPr>
          <w:p>
            <w:pPr>
              <w:pStyle w:val="Compact"/>
              <w:suppressLineNumbers/>
              <w:spacing w:before="0" w:after="0" w:line="240" w:lineRule="auto"/>
              <w:jc w:val="right"/>
              <w:rPr>
                <w:sz w:val="18"/>
                <w:szCs w:val="18"/>
              </w:rPr>
            </w:pPr>
            <w:r>
              <w:rPr>
                <w:sz w:val="18"/>
                <w:szCs w:val="18"/>
              </w:rPr>
              <w:t xml:space="preserve">3.8</w:t>
            </w:r>
          </w:p>
        </w:tc>
        <w:tc>
          <w:tcPr>
            <w:tcW w:w="1140" w:type="dxa"/>
          </w:tcPr>
          <w:p>
            <w:pPr>
              <w:pStyle w:val="Compact"/>
              <w:suppressLineNumbers/>
              <w:spacing w:before="0" w:after="0" w:line="240" w:lineRule="auto"/>
              <w:jc w:val="right"/>
              <w:rPr>
                <w:sz w:val="18"/>
                <w:szCs w:val="18"/>
              </w:rPr>
            </w:pPr>
            <w:r>
              <w:rPr>
                <w:sz w:val="18"/>
                <w:szCs w:val="18"/>
              </w:rPr>
              <w:t xml:space="preserve">−31.4</w:t>
            </w:r>
          </w:p>
        </w:tc>
        <w:tc>
          <w:tcPr>
            <w:tcW w:w="854" w:type="dxa"/>
          </w:tcPr>
          <w:p>
            <w:pPr>
              <w:pStyle w:val="Compact"/>
              <w:suppressLineNumbers/>
              <w:spacing w:before="0" w:after="0" w:line="240" w:lineRule="auto"/>
              <w:jc w:val="right"/>
              <w:rPr>
                <w:sz w:val="18"/>
                <w:szCs w:val="18"/>
              </w:rPr>
            </w:pPr>
            <w:r>
              <w:rPr>
                <w:sz w:val="18"/>
                <w:szCs w:val="18"/>
              </w:rPr>
              <w:t xml:space="preserve">−0.560</w:t>
            </w:r>
          </w:p>
        </w:tc>
        <w:tc>
          <w:tcPr>
            <w:tcW w:w="1210" w:type="dxa"/>
          </w:tcPr>
          <w:p>
            <w:pPr>
              <w:pStyle w:val="Compact"/>
              <w:suppressLineNumbers/>
              <w:spacing w:before="0" w:after="0" w:line="240" w:lineRule="auto"/>
              <w:jc w:val="right"/>
              <w:rPr>
                <w:sz w:val="18"/>
                <w:szCs w:val="18"/>
              </w:rPr>
            </w:pPr>
            <w:r>
              <w:rPr>
                <w:sz w:val="18"/>
                <w:szCs w:val="18"/>
              </w:rPr>
              <w:t xml:space="preserve">4.3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CRACR2B</w:t>
            </w:r>
          </w:p>
        </w:tc>
        <w:tc>
          <w:tcPr>
            <w:tcW w:w="1282" w:type="dxa"/>
          </w:tcPr>
          <w:p>
            <w:pPr>
              <w:pStyle w:val="Compact"/>
              <w:suppressLineNumbers/>
              <w:spacing w:before="0" w:after="0" w:line="240" w:lineRule="auto"/>
              <w:jc w:val="right"/>
              <w:rPr>
                <w:sz w:val="18"/>
                <w:szCs w:val="18"/>
              </w:rPr>
            </w:pPr>
            <w:r>
              <w:rPr>
                <w:sz w:val="18"/>
                <w:szCs w:val="18"/>
              </w:rPr>
              <w:t xml:space="preserve">1.18</w:t>
            </w:r>
          </w:p>
        </w:tc>
        <w:tc>
          <w:tcPr>
            <w:tcW w:w="1353" w:type="dxa"/>
          </w:tcPr>
          <w:p>
            <w:pPr>
              <w:pStyle w:val="Compact"/>
              <w:suppressLineNumbers/>
              <w:spacing w:before="0" w:after="0" w:line="240" w:lineRule="auto"/>
              <w:jc w:val="right"/>
              <w:rPr>
                <w:sz w:val="18"/>
                <w:szCs w:val="18"/>
              </w:rPr>
            </w:pPr>
            <w:r>
              <w:rPr>
                <w:sz w:val="18"/>
                <w:szCs w:val="18"/>
              </w:rPr>
              <w:t xml:space="preserve">1.55</w:t>
            </w:r>
          </w:p>
        </w:tc>
        <w:tc>
          <w:tcPr>
            <w:tcW w:w="1282" w:type="dxa"/>
          </w:tcPr>
          <w:p>
            <w:pPr>
              <w:pStyle w:val="Compact"/>
              <w:suppressLineNumbers/>
              <w:spacing w:before="0" w:after="0" w:line="240" w:lineRule="auto"/>
              <w:jc w:val="right"/>
              <w:rPr>
                <w:sz w:val="18"/>
                <w:szCs w:val="18"/>
              </w:rPr>
            </w:pPr>
            <w:r>
              <w:rPr>
                <w:sz w:val="18"/>
                <w:szCs w:val="18"/>
              </w:rPr>
              <w:t xml:space="preserve">1.03</w:t>
            </w:r>
          </w:p>
        </w:tc>
        <w:tc>
          <w:tcPr>
            <w:tcW w:w="1353" w:type="dxa"/>
          </w:tcPr>
          <w:p>
            <w:pPr>
              <w:pStyle w:val="Compact"/>
              <w:suppressLineNumbers/>
              <w:spacing w:before="0" w:after="0" w:line="240" w:lineRule="auto"/>
              <w:jc w:val="right"/>
              <w:rPr>
                <w:sz w:val="18"/>
                <w:szCs w:val="18"/>
              </w:rPr>
            </w:pPr>
            <w:r>
              <w:rPr>
                <w:sz w:val="18"/>
                <w:szCs w:val="18"/>
              </w:rPr>
              <w:t xml:space="preserve">1.77</w:t>
            </w:r>
          </w:p>
        </w:tc>
        <w:tc>
          <w:tcPr>
            <w:tcW w:w="1496" w:type="dxa"/>
          </w:tcPr>
          <w:p>
            <w:pPr>
              <w:pStyle w:val="Compact"/>
              <w:suppressLineNumbers/>
              <w:spacing w:before="0" w:after="0" w:line="240" w:lineRule="auto"/>
              <w:jc w:val="right"/>
              <w:rPr>
                <w:sz w:val="18"/>
                <w:szCs w:val="18"/>
              </w:rPr>
            </w:pPr>
            <w:r>
              <w:rPr>
                <w:sz w:val="18"/>
                <w:szCs w:val="18"/>
              </w:rPr>
              <w:t xml:space="preserve">0.5</w:t>
            </w:r>
          </w:p>
        </w:tc>
        <w:tc>
          <w:tcPr>
            <w:tcW w:w="1140" w:type="dxa"/>
          </w:tcPr>
          <w:p>
            <w:pPr>
              <w:pStyle w:val="Compact"/>
              <w:suppressLineNumbers/>
              <w:spacing w:before="0" w:after="0" w:line="240" w:lineRule="auto"/>
              <w:jc w:val="right"/>
              <w:rPr>
                <w:sz w:val="18"/>
                <w:szCs w:val="18"/>
              </w:rPr>
            </w:pPr>
            <w:r>
              <w:rPr>
                <w:sz w:val="18"/>
                <w:szCs w:val="18"/>
              </w:rPr>
              <w:t xml:space="preserve">+72.0</w:t>
            </w:r>
          </w:p>
        </w:tc>
        <w:tc>
          <w:tcPr>
            <w:tcW w:w="854" w:type="dxa"/>
          </w:tcPr>
          <w:p>
            <w:pPr>
              <w:pStyle w:val="Compact"/>
              <w:suppressLineNumbers/>
              <w:spacing w:before="0" w:after="0" w:line="240" w:lineRule="auto"/>
              <w:jc w:val="right"/>
              <w:rPr>
                <w:sz w:val="18"/>
                <w:szCs w:val="18"/>
              </w:rPr>
            </w:pPr>
            <w:r>
              <w:rPr>
                <w:sz w:val="18"/>
                <w:szCs w:val="18"/>
              </w:rPr>
              <w:t xml:space="preserve">+0.925</w:t>
            </w:r>
          </w:p>
        </w:tc>
        <w:tc>
          <w:tcPr>
            <w:tcW w:w="1210" w:type="dxa"/>
          </w:tcPr>
          <w:p>
            <w:pPr>
              <w:pStyle w:val="Compact"/>
              <w:suppressLineNumbers/>
              <w:spacing w:before="0" w:after="0" w:line="240" w:lineRule="auto"/>
              <w:jc w:val="right"/>
              <w:rPr>
                <w:sz w:val="18"/>
                <w:szCs w:val="18"/>
              </w:rPr>
            </w:pPr>
            <w:r>
              <w:rPr>
                <w:sz w:val="18"/>
                <w:szCs w:val="18"/>
              </w:rPr>
              <w:t xml:space="preserve">0.017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CBARP</w:t>
            </w:r>
          </w:p>
        </w:tc>
        <w:tc>
          <w:tcPr>
            <w:tcW w:w="1282" w:type="dxa"/>
          </w:tcPr>
          <w:p>
            <w:pPr>
              <w:pStyle w:val="Compact"/>
              <w:suppressLineNumbers/>
              <w:spacing w:before="0" w:after="0" w:line="240" w:lineRule="auto"/>
              <w:jc w:val="right"/>
              <w:rPr>
                <w:sz w:val="18"/>
                <w:szCs w:val="18"/>
              </w:rPr>
            </w:pPr>
            <w:r>
              <w:rPr>
                <w:sz w:val="18"/>
                <w:szCs w:val="18"/>
              </w:rPr>
              <w:t xml:space="preserve">14.57</w:t>
            </w:r>
          </w:p>
        </w:tc>
        <w:tc>
          <w:tcPr>
            <w:tcW w:w="1353" w:type="dxa"/>
          </w:tcPr>
          <w:p>
            <w:pPr>
              <w:pStyle w:val="Compact"/>
              <w:suppressLineNumbers/>
              <w:spacing w:before="0" w:after="0" w:line="240" w:lineRule="auto"/>
              <w:jc w:val="right"/>
              <w:rPr>
                <w:sz w:val="18"/>
                <w:szCs w:val="18"/>
              </w:rPr>
            </w:pPr>
            <w:r>
              <w:rPr>
                <w:sz w:val="18"/>
                <w:szCs w:val="18"/>
              </w:rPr>
              <w:t xml:space="preserve">6.56</w:t>
            </w:r>
          </w:p>
        </w:tc>
        <w:tc>
          <w:tcPr>
            <w:tcW w:w="1282" w:type="dxa"/>
          </w:tcPr>
          <w:p>
            <w:pPr>
              <w:pStyle w:val="Compact"/>
              <w:suppressLineNumbers/>
              <w:spacing w:before="0" w:after="0" w:line="240" w:lineRule="auto"/>
              <w:jc w:val="right"/>
              <w:rPr>
                <w:sz w:val="18"/>
                <w:szCs w:val="18"/>
              </w:rPr>
            </w:pPr>
            <w:r>
              <w:rPr>
                <w:sz w:val="18"/>
                <w:szCs w:val="18"/>
              </w:rPr>
              <w:t xml:space="preserve">12.73</w:t>
            </w:r>
          </w:p>
        </w:tc>
        <w:tc>
          <w:tcPr>
            <w:tcW w:w="1353" w:type="dxa"/>
          </w:tcPr>
          <w:p>
            <w:pPr>
              <w:pStyle w:val="Compact"/>
              <w:suppressLineNumbers/>
              <w:spacing w:before="0" w:after="0" w:line="240" w:lineRule="auto"/>
              <w:jc w:val="right"/>
              <w:rPr>
                <w:sz w:val="18"/>
                <w:szCs w:val="18"/>
              </w:rPr>
            </w:pPr>
            <w:r>
              <w:rPr>
                <w:sz w:val="18"/>
                <w:szCs w:val="18"/>
              </w:rPr>
              <w:t xml:space="preserve">7.49</w:t>
            </w:r>
          </w:p>
        </w:tc>
        <w:tc>
          <w:tcPr>
            <w:tcW w:w="1496" w:type="dxa"/>
          </w:tcPr>
          <w:p>
            <w:pPr>
              <w:pStyle w:val="Compact"/>
              <w:suppressLineNumbers/>
              <w:spacing w:before="0" w:after="0" w:line="240" w:lineRule="auto"/>
              <w:jc w:val="right"/>
              <w:rPr>
                <w:sz w:val="18"/>
                <w:szCs w:val="18"/>
              </w:rPr>
            </w:pPr>
            <w:r>
              <w:rPr>
                <w:sz w:val="18"/>
                <w:szCs w:val="18"/>
              </w:rPr>
              <w:t xml:space="preserve">6.7</w:t>
            </w:r>
          </w:p>
        </w:tc>
        <w:tc>
          <w:tcPr>
            <w:tcW w:w="1140" w:type="dxa"/>
          </w:tcPr>
          <w:p>
            <w:pPr>
              <w:pStyle w:val="Compact"/>
              <w:suppressLineNumbers/>
              <w:spacing w:before="0" w:after="0" w:line="240" w:lineRule="auto"/>
              <w:jc w:val="right"/>
              <w:rPr>
                <w:sz w:val="18"/>
                <w:szCs w:val="18"/>
              </w:rPr>
            </w:pPr>
            <w:r>
              <w:rPr>
                <w:sz w:val="18"/>
                <w:szCs w:val="18"/>
              </w:rPr>
              <w:t xml:space="preserve">−41.1</w:t>
            </w:r>
          </w:p>
        </w:tc>
        <w:tc>
          <w:tcPr>
            <w:tcW w:w="854" w:type="dxa"/>
          </w:tcPr>
          <w:p>
            <w:pPr>
              <w:pStyle w:val="Compact"/>
              <w:suppressLineNumbers/>
              <w:spacing w:before="0" w:after="0" w:line="240" w:lineRule="auto"/>
              <w:jc w:val="right"/>
              <w:rPr>
                <w:sz w:val="18"/>
                <w:szCs w:val="18"/>
              </w:rPr>
            </w:pPr>
            <w:r>
              <w:rPr>
                <w:sz w:val="18"/>
                <w:szCs w:val="18"/>
              </w:rPr>
              <w:t xml:space="preserve">−1.254</w:t>
            </w:r>
          </w:p>
        </w:tc>
        <w:tc>
          <w:tcPr>
            <w:tcW w:w="1210" w:type="dxa"/>
          </w:tcPr>
          <w:p>
            <w:pPr>
              <w:pStyle w:val="Compact"/>
              <w:suppressLineNumbers/>
              <w:spacing w:before="0" w:after="0" w:line="240" w:lineRule="auto"/>
              <w:jc w:val="right"/>
              <w:rPr>
                <w:sz w:val="18"/>
                <w:szCs w:val="18"/>
              </w:rPr>
            </w:pPr>
            <w:r>
              <w:rPr>
                <w:sz w:val="18"/>
                <w:szCs w:val="18"/>
              </w:rPr>
              <w:t xml:space="preserve">3.1 × 10⁻²⁵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217.64</w:t>
            </w:r>
          </w:p>
        </w:tc>
        <w:tc>
          <w:tcPr>
            <w:tcW w:w="1353" w:type="dxa"/>
          </w:tcPr>
          <w:p>
            <w:pPr>
              <w:pStyle w:val="Compact"/>
              <w:suppressLineNumbers/>
              <w:spacing w:before="0" w:after="0" w:line="240" w:lineRule="auto"/>
              <w:jc w:val="right"/>
              <w:rPr>
                <w:sz w:val="18"/>
                <w:szCs w:val="18"/>
              </w:rPr>
            </w:pPr>
            <w:r>
              <w:rPr>
                <w:sz w:val="18"/>
                <w:szCs w:val="18"/>
              </w:rPr>
              <w:t xml:space="preserve">216.15</w:t>
            </w:r>
          </w:p>
        </w:tc>
        <w:tc>
          <w:tcPr>
            <w:tcW w:w="1282" w:type="dxa"/>
          </w:tcPr>
          <w:p>
            <w:pPr>
              <w:pStyle w:val="Compact"/>
              <w:suppressLineNumbers/>
              <w:spacing w:before="0" w:after="0" w:line="240" w:lineRule="auto"/>
              <w:jc w:val="right"/>
              <w:rPr>
                <w:sz w:val="18"/>
                <w:szCs w:val="18"/>
              </w:rPr>
            </w:pPr>
            <w:r>
              <w:rPr>
                <w:sz w:val="18"/>
                <w:szCs w:val="18"/>
              </w:rPr>
              <w:t xml:space="preserve">189.95</w:t>
            </w:r>
          </w:p>
        </w:tc>
        <w:tc>
          <w:tcPr>
            <w:tcW w:w="1353" w:type="dxa"/>
          </w:tcPr>
          <w:p>
            <w:pPr>
              <w:pStyle w:val="Compact"/>
              <w:suppressLineNumbers/>
              <w:spacing w:before="0" w:after="0" w:line="240" w:lineRule="auto"/>
              <w:jc w:val="right"/>
              <w:rPr>
                <w:sz w:val="18"/>
                <w:szCs w:val="18"/>
              </w:rPr>
            </w:pPr>
            <w:r>
              <w:rPr>
                <w:sz w:val="18"/>
                <w:szCs w:val="18"/>
              </w:rPr>
              <w:t xml:space="preserve">246.96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+30.0</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Mitochondrial Ca²⁺ uptake</w:t>
            </w:r>
          </w:p>
        </w:tc>
        <w:tc>
          <w:tcPr>
            <w:tcW w:w="1210" w:type="dxa"/>
          </w:tcPr>
          <w:p>
            <w:pPr>
              <w:pStyle w:val="Compact"/>
              <w:suppressLineNumbers/>
              <w:spacing w:before="0" w:after="0" w:line="240" w:lineRule="auto"/>
              <w:jc w:val="left"/>
              <w:rPr>
                <w:sz w:val="18"/>
                <w:szCs w:val="18"/>
              </w:rPr>
            </w:pPr>
            <w:r>
              <w:rPr>
                <w:i/>
                <w:iCs/>
                <w:sz w:val="18"/>
                <w:szCs w:val="18"/>
              </w:rPr>
              <w:t xml:space="preserve">MCU</w:t>
            </w:r>
          </w:p>
        </w:tc>
        <w:tc>
          <w:tcPr>
            <w:tcW w:w="1282" w:type="dxa"/>
          </w:tcPr>
          <w:p>
            <w:pPr>
              <w:pStyle w:val="Compact"/>
              <w:suppressLineNumbers/>
              <w:spacing w:before="0" w:after="0" w:line="240" w:lineRule="auto"/>
              <w:jc w:val="right"/>
              <w:rPr>
                <w:sz w:val="18"/>
                <w:szCs w:val="18"/>
              </w:rPr>
            </w:pPr>
            <w:r>
              <w:rPr>
                <w:sz w:val="18"/>
                <w:szCs w:val="18"/>
              </w:rPr>
              <w:t xml:space="preserve">26.79</w:t>
            </w:r>
          </w:p>
        </w:tc>
        <w:tc>
          <w:tcPr>
            <w:tcW w:w="1353" w:type="dxa"/>
          </w:tcPr>
          <w:p>
            <w:pPr>
              <w:pStyle w:val="Compact"/>
              <w:suppressLineNumbers/>
              <w:spacing w:before="0" w:after="0" w:line="240" w:lineRule="auto"/>
              <w:jc w:val="right"/>
              <w:rPr>
                <w:sz w:val="18"/>
                <w:szCs w:val="18"/>
              </w:rPr>
            </w:pPr>
            <w:r>
              <w:rPr>
                <w:sz w:val="18"/>
                <w:szCs w:val="18"/>
              </w:rPr>
              <w:t xml:space="preserve">8.21</w:t>
            </w:r>
          </w:p>
        </w:tc>
        <w:tc>
          <w:tcPr>
            <w:tcW w:w="1282" w:type="dxa"/>
          </w:tcPr>
          <w:p>
            <w:pPr>
              <w:pStyle w:val="Compact"/>
              <w:suppressLineNumbers/>
              <w:spacing w:before="0" w:after="0" w:line="240" w:lineRule="auto"/>
              <w:jc w:val="right"/>
              <w:rPr>
                <w:sz w:val="18"/>
                <w:szCs w:val="18"/>
              </w:rPr>
            </w:pPr>
            <w:r>
              <w:rPr>
                <w:sz w:val="18"/>
                <w:szCs w:val="18"/>
              </w:rPr>
              <w:t xml:space="preserve">23.39</w:t>
            </w:r>
          </w:p>
        </w:tc>
        <w:tc>
          <w:tcPr>
            <w:tcW w:w="1353" w:type="dxa"/>
          </w:tcPr>
          <w:p>
            <w:pPr>
              <w:pStyle w:val="Compact"/>
              <w:suppressLineNumbers/>
              <w:spacing w:before="0" w:after="0" w:line="240" w:lineRule="auto"/>
              <w:jc w:val="right"/>
              <w:rPr>
                <w:sz w:val="18"/>
                <w:szCs w:val="18"/>
              </w:rPr>
            </w:pPr>
            <w:r>
              <w:rPr>
                <w:sz w:val="18"/>
                <w:szCs w:val="18"/>
              </w:rPr>
              <w:t xml:space="preserve">9.38</w:t>
            </w:r>
          </w:p>
        </w:tc>
        <w:tc>
          <w:tcPr>
            <w:tcW w:w="1496" w:type="dxa"/>
          </w:tcPr>
          <w:p>
            <w:pPr>
              <w:pStyle w:val="Compact"/>
              <w:suppressLineNumbers/>
              <w:spacing w:before="0" w:after="0" w:line="240" w:lineRule="auto"/>
              <w:jc w:val="right"/>
              <w:rPr>
                <w:sz w:val="18"/>
                <w:szCs w:val="18"/>
              </w:rPr>
            </w:pPr>
            <w:r>
              <w:rPr>
                <w:sz w:val="18"/>
                <w:szCs w:val="18"/>
              </w:rPr>
              <w:t xml:space="preserve">13.5</w:t>
            </w:r>
          </w:p>
        </w:tc>
        <w:tc>
          <w:tcPr>
            <w:tcW w:w="1140" w:type="dxa"/>
          </w:tcPr>
          <w:p>
            <w:pPr>
              <w:pStyle w:val="Compact"/>
              <w:suppressLineNumbers/>
              <w:spacing w:before="0" w:after="0" w:line="240" w:lineRule="auto"/>
              <w:jc w:val="right"/>
              <w:rPr>
                <w:sz w:val="18"/>
                <w:szCs w:val="18"/>
              </w:rPr>
            </w:pPr>
            <w:r>
              <w:rPr>
                <w:sz w:val="18"/>
                <w:szCs w:val="18"/>
              </w:rPr>
              <w:t xml:space="preserve">−59.9</w:t>
            </w:r>
          </w:p>
        </w:tc>
        <w:tc>
          <w:tcPr>
            <w:tcW w:w="854" w:type="dxa"/>
          </w:tcPr>
          <w:p>
            <w:pPr>
              <w:pStyle w:val="Compact"/>
              <w:suppressLineNumbers/>
              <w:spacing w:before="0" w:after="0" w:line="240" w:lineRule="auto"/>
              <w:jc w:val="right"/>
              <w:rPr>
                <w:sz w:val="18"/>
                <w:szCs w:val="18"/>
              </w:rPr>
            </w:pPr>
            <w:r>
              <w:rPr>
                <w:sz w:val="18"/>
                <w:szCs w:val="18"/>
              </w:rPr>
              <w:t xml:space="preserve">−1.041</w:t>
            </w:r>
          </w:p>
        </w:tc>
        <w:tc>
          <w:tcPr>
            <w:tcW w:w="1210" w:type="dxa"/>
          </w:tcPr>
          <w:p>
            <w:pPr>
              <w:pStyle w:val="Compact"/>
              <w:suppressLineNumbers/>
              <w:spacing w:before="0" w:after="0" w:line="240" w:lineRule="auto"/>
              <w:jc w:val="right"/>
              <w:rPr>
                <w:sz w:val="18"/>
                <w:szCs w:val="18"/>
              </w:rPr>
            </w:pPr>
            <w:r>
              <w:rPr>
                <w:sz w:val="18"/>
                <w:szCs w:val="18"/>
              </w:rPr>
              <w:t xml:space="preserve">2.9 × 10⁻²³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MICU1</w:t>
            </w:r>
          </w:p>
        </w:tc>
        <w:tc>
          <w:tcPr>
            <w:tcW w:w="1282" w:type="dxa"/>
          </w:tcPr>
          <w:p>
            <w:pPr>
              <w:pStyle w:val="Compact"/>
              <w:suppressLineNumbers/>
              <w:spacing w:before="0" w:after="0" w:line="240" w:lineRule="auto"/>
              <w:jc w:val="right"/>
              <w:rPr>
                <w:sz w:val="18"/>
                <w:szCs w:val="18"/>
              </w:rPr>
            </w:pPr>
            <w:r>
              <w:rPr>
                <w:sz w:val="18"/>
                <w:szCs w:val="18"/>
              </w:rPr>
              <w:t xml:space="preserve">70.93</w:t>
            </w:r>
          </w:p>
        </w:tc>
        <w:tc>
          <w:tcPr>
            <w:tcW w:w="1353" w:type="dxa"/>
          </w:tcPr>
          <w:p>
            <w:pPr>
              <w:pStyle w:val="Compact"/>
              <w:suppressLineNumbers/>
              <w:spacing w:before="0" w:after="0" w:line="240" w:lineRule="auto"/>
              <w:jc w:val="right"/>
              <w:rPr>
                <w:sz w:val="18"/>
                <w:szCs w:val="18"/>
              </w:rPr>
            </w:pPr>
            <w:r>
              <w:rPr>
                <w:sz w:val="18"/>
                <w:szCs w:val="18"/>
              </w:rPr>
              <w:t xml:space="preserve">50.30</w:t>
            </w:r>
          </w:p>
        </w:tc>
        <w:tc>
          <w:tcPr>
            <w:tcW w:w="1282" w:type="dxa"/>
          </w:tcPr>
          <w:p>
            <w:pPr>
              <w:pStyle w:val="Compact"/>
              <w:suppressLineNumbers/>
              <w:spacing w:before="0" w:after="0" w:line="240" w:lineRule="auto"/>
              <w:jc w:val="right"/>
              <w:rPr>
                <w:sz w:val="18"/>
                <w:szCs w:val="18"/>
              </w:rPr>
            </w:pPr>
            <w:r>
              <w:rPr>
                <w:sz w:val="18"/>
                <w:szCs w:val="18"/>
              </w:rPr>
              <w:t xml:space="preserve">61.91</w:t>
            </w:r>
          </w:p>
        </w:tc>
        <w:tc>
          <w:tcPr>
            <w:tcW w:w="1353" w:type="dxa"/>
          </w:tcPr>
          <w:p>
            <w:pPr>
              <w:pStyle w:val="Compact"/>
              <w:suppressLineNumbers/>
              <w:spacing w:before="0" w:after="0" w:line="240" w:lineRule="auto"/>
              <w:jc w:val="right"/>
              <w:rPr>
                <w:sz w:val="18"/>
                <w:szCs w:val="18"/>
              </w:rPr>
            </w:pPr>
            <w:r>
              <w:rPr>
                <w:sz w:val="18"/>
                <w:szCs w:val="18"/>
              </w:rPr>
              <w:t xml:space="preserve">57.47</w:t>
            </w:r>
          </w:p>
        </w:tc>
        <w:tc>
          <w:tcPr>
            <w:tcW w:w="1496" w:type="dxa"/>
          </w:tcPr>
          <w:p>
            <w:pPr>
              <w:pStyle w:val="Compact"/>
              <w:suppressLineNumbers/>
              <w:spacing w:before="0" w:after="0" w:line="240" w:lineRule="auto"/>
              <w:jc w:val="right"/>
              <w:rPr>
                <w:sz w:val="18"/>
                <w:szCs w:val="18"/>
              </w:rPr>
            </w:pPr>
            <w:r>
              <w:rPr>
                <w:sz w:val="18"/>
                <w:szCs w:val="18"/>
              </w:rPr>
              <w:t xml:space="preserve">35.7</w:t>
            </w:r>
          </w:p>
        </w:tc>
        <w:tc>
          <w:tcPr>
            <w:tcW w:w="1140" w:type="dxa"/>
          </w:tcPr>
          <w:p>
            <w:pPr>
              <w:pStyle w:val="Compact"/>
              <w:suppressLineNumbers/>
              <w:spacing w:before="0" w:after="0" w:line="240" w:lineRule="auto"/>
              <w:jc w:val="right"/>
              <w:rPr>
                <w:sz w:val="18"/>
                <w:szCs w:val="18"/>
              </w:rPr>
            </w:pPr>
            <w:r>
              <w:rPr>
                <w:sz w:val="18"/>
                <w:szCs w:val="18"/>
              </w:rPr>
              <w:t xml:space="preserve">−7.2</w:t>
            </w:r>
          </w:p>
        </w:tc>
        <w:tc>
          <w:tcPr>
            <w:tcW w:w="854" w:type="dxa"/>
          </w:tcPr>
          <w:p>
            <w:pPr>
              <w:pStyle w:val="Compact"/>
              <w:suppressLineNumbers/>
              <w:spacing w:before="0" w:after="0" w:line="240" w:lineRule="auto"/>
              <w:jc w:val="right"/>
              <w:rPr>
                <w:sz w:val="18"/>
                <w:szCs w:val="18"/>
              </w:rPr>
            </w:pPr>
            <w:r>
              <w:rPr>
                <w:sz w:val="18"/>
                <w:szCs w:val="18"/>
              </w:rPr>
              <w:t xml:space="preserve">−0.069</w:t>
            </w:r>
          </w:p>
        </w:tc>
        <w:tc>
          <w:tcPr>
            <w:tcW w:w="1210" w:type="dxa"/>
          </w:tcPr>
          <w:p>
            <w:pPr>
              <w:pStyle w:val="Compact"/>
              <w:suppressLineNumbers/>
              <w:spacing w:before="0" w:after="0" w:line="240" w:lineRule="auto"/>
              <w:jc w:val="right"/>
              <w:rPr>
                <w:sz w:val="18"/>
                <w:szCs w:val="18"/>
              </w:rPr>
            </w:pPr>
            <w:r>
              <w:rPr>
                <w:sz w:val="18"/>
                <w:szCs w:val="18"/>
              </w:rPr>
              <w:t xml:space="preserve">0.41</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MICU2</w:t>
            </w:r>
          </w:p>
        </w:tc>
        <w:tc>
          <w:tcPr>
            <w:tcW w:w="1282" w:type="dxa"/>
          </w:tcPr>
          <w:p>
            <w:pPr>
              <w:pStyle w:val="Compact"/>
              <w:suppressLineNumbers/>
              <w:spacing w:before="0" w:after="0" w:line="240" w:lineRule="auto"/>
              <w:jc w:val="right"/>
              <w:rPr>
                <w:sz w:val="18"/>
                <w:szCs w:val="18"/>
              </w:rPr>
            </w:pPr>
            <w:r>
              <w:rPr>
                <w:sz w:val="18"/>
                <w:szCs w:val="18"/>
              </w:rPr>
              <w:t xml:space="preserve">29.50</w:t>
            </w:r>
          </w:p>
        </w:tc>
        <w:tc>
          <w:tcPr>
            <w:tcW w:w="1353" w:type="dxa"/>
          </w:tcPr>
          <w:p>
            <w:pPr>
              <w:pStyle w:val="Compact"/>
              <w:suppressLineNumbers/>
              <w:spacing w:before="0" w:after="0" w:line="240" w:lineRule="auto"/>
              <w:jc w:val="right"/>
              <w:rPr>
                <w:sz w:val="18"/>
                <w:szCs w:val="18"/>
              </w:rPr>
            </w:pPr>
            <w:r>
              <w:rPr>
                <w:sz w:val="18"/>
                <w:szCs w:val="18"/>
              </w:rPr>
              <w:t xml:space="preserve">12.21</w:t>
            </w:r>
          </w:p>
        </w:tc>
        <w:tc>
          <w:tcPr>
            <w:tcW w:w="1282" w:type="dxa"/>
          </w:tcPr>
          <w:p>
            <w:pPr>
              <w:pStyle w:val="Compact"/>
              <w:suppressLineNumbers/>
              <w:spacing w:before="0" w:after="0" w:line="240" w:lineRule="auto"/>
              <w:jc w:val="right"/>
              <w:rPr>
                <w:sz w:val="18"/>
                <w:szCs w:val="18"/>
              </w:rPr>
            </w:pPr>
            <w:r>
              <w:rPr>
                <w:sz w:val="18"/>
                <w:szCs w:val="18"/>
              </w:rPr>
              <w:t xml:space="preserve">25.72</w:t>
            </w:r>
          </w:p>
        </w:tc>
        <w:tc>
          <w:tcPr>
            <w:tcW w:w="1353" w:type="dxa"/>
          </w:tcPr>
          <w:p>
            <w:pPr>
              <w:pStyle w:val="Compact"/>
              <w:suppressLineNumbers/>
              <w:spacing w:before="0" w:after="0" w:line="240" w:lineRule="auto"/>
              <w:jc w:val="right"/>
              <w:rPr>
                <w:sz w:val="18"/>
                <w:szCs w:val="18"/>
              </w:rPr>
            </w:pPr>
            <w:r>
              <w:rPr>
                <w:sz w:val="18"/>
                <w:szCs w:val="18"/>
              </w:rPr>
              <w:t xml:space="preserve">13.95</w:t>
            </w:r>
          </w:p>
        </w:tc>
        <w:tc>
          <w:tcPr>
            <w:tcW w:w="1496" w:type="dxa"/>
          </w:tcPr>
          <w:p>
            <w:pPr>
              <w:pStyle w:val="Compact"/>
              <w:suppressLineNumbers/>
              <w:spacing w:before="0" w:after="0" w:line="240" w:lineRule="auto"/>
              <w:jc w:val="right"/>
              <w:rPr>
                <w:sz w:val="18"/>
                <w:szCs w:val="18"/>
              </w:rPr>
            </w:pPr>
            <w:r>
              <w:rPr>
                <w:sz w:val="18"/>
                <w:szCs w:val="18"/>
              </w:rPr>
              <w:t xml:space="preserve">14.8</w:t>
            </w:r>
          </w:p>
        </w:tc>
        <w:tc>
          <w:tcPr>
            <w:tcW w:w="1140" w:type="dxa"/>
          </w:tcPr>
          <w:p>
            <w:pPr>
              <w:pStyle w:val="Compact"/>
              <w:suppressLineNumbers/>
              <w:spacing w:before="0" w:after="0" w:line="240" w:lineRule="auto"/>
              <w:jc w:val="right"/>
              <w:rPr>
                <w:sz w:val="18"/>
                <w:szCs w:val="18"/>
              </w:rPr>
            </w:pPr>
            <w:r>
              <w:rPr>
                <w:sz w:val="18"/>
                <w:szCs w:val="18"/>
              </w:rPr>
              <w:t xml:space="preserve">−45.8</w:t>
            </w:r>
          </w:p>
        </w:tc>
        <w:tc>
          <w:tcPr>
            <w:tcW w:w="854" w:type="dxa"/>
          </w:tcPr>
          <w:p>
            <w:pPr>
              <w:pStyle w:val="Compact"/>
              <w:suppressLineNumbers/>
              <w:spacing w:before="0" w:after="0" w:line="240" w:lineRule="auto"/>
              <w:jc w:val="right"/>
              <w:rPr>
                <w:sz w:val="18"/>
                <w:szCs w:val="18"/>
              </w:rPr>
            </w:pPr>
            <w:r>
              <w:rPr>
                <w:sz w:val="18"/>
                <w:szCs w:val="18"/>
              </w:rPr>
              <w:t xml:space="preserve">−0.566</w:t>
            </w:r>
          </w:p>
        </w:tc>
        <w:tc>
          <w:tcPr>
            <w:tcW w:w="1210" w:type="dxa"/>
          </w:tcPr>
          <w:p>
            <w:pPr>
              <w:pStyle w:val="Compact"/>
              <w:suppressLineNumbers/>
              <w:spacing w:before="0" w:after="0" w:line="240" w:lineRule="auto"/>
              <w:jc w:val="right"/>
              <w:rPr>
                <w:sz w:val="18"/>
                <w:szCs w:val="18"/>
              </w:rPr>
            </w:pPr>
            <w:r>
              <w:rPr>
                <w:sz w:val="18"/>
                <w:szCs w:val="18"/>
              </w:rPr>
              <w:t xml:space="preserve">6.9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MICU3</w:t>
            </w:r>
          </w:p>
        </w:tc>
        <w:tc>
          <w:tcPr>
            <w:tcW w:w="1282" w:type="dxa"/>
          </w:tcPr>
          <w:p>
            <w:pPr>
              <w:pStyle w:val="Compact"/>
              <w:suppressLineNumbers/>
              <w:spacing w:before="0" w:after="0" w:line="240" w:lineRule="auto"/>
              <w:jc w:val="right"/>
              <w:rPr>
                <w:sz w:val="18"/>
                <w:szCs w:val="18"/>
              </w:rPr>
            </w:pPr>
            <w:r>
              <w:rPr>
                <w:sz w:val="18"/>
                <w:szCs w:val="18"/>
              </w:rPr>
              <w:t xml:space="preserve">3.20</w:t>
            </w:r>
          </w:p>
        </w:tc>
        <w:tc>
          <w:tcPr>
            <w:tcW w:w="1353" w:type="dxa"/>
          </w:tcPr>
          <w:p>
            <w:pPr>
              <w:pStyle w:val="Compact"/>
              <w:suppressLineNumbers/>
              <w:spacing w:before="0" w:after="0" w:line="240" w:lineRule="auto"/>
              <w:jc w:val="right"/>
              <w:rPr>
                <w:sz w:val="18"/>
                <w:szCs w:val="18"/>
              </w:rPr>
            </w:pPr>
            <w:r>
              <w:rPr>
                <w:sz w:val="18"/>
                <w:szCs w:val="18"/>
              </w:rPr>
              <w:t xml:space="preserve">2.97</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3.40</w:t>
            </w:r>
          </w:p>
        </w:tc>
        <w:tc>
          <w:tcPr>
            <w:tcW w:w="1496" w:type="dxa"/>
          </w:tcPr>
          <w:p>
            <w:pPr>
              <w:pStyle w:val="Compact"/>
              <w:suppressLineNumbers/>
              <w:spacing w:before="0" w:after="0" w:line="240" w:lineRule="auto"/>
              <w:jc w:val="right"/>
              <w:rPr>
                <w:sz w:val="18"/>
                <w:szCs w:val="18"/>
              </w:rPr>
            </w:pPr>
            <w:r>
              <w:rPr>
                <w:sz w:val="18"/>
                <w:szCs w:val="18"/>
              </w:rPr>
              <w:t xml:space="preserve">1.6</w:t>
            </w:r>
          </w:p>
        </w:tc>
        <w:tc>
          <w:tcPr>
            <w:tcW w:w="1140" w:type="dxa"/>
          </w:tcPr>
          <w:p>
            <w:pPr>
              <w:pStyle w:val="Compact"/>
              <w:suppressLineNumbers/>
              <w:spacing w:before="0" w:after="0" w:line="240" w:lineRule="auto"/>
              <w:jc w:val="right"/>
              <w:rPr>
                <w:sz w:val="18"/>
                <w:szCs w:val="18"/>
              </w:rPr>
            </w:pPr>
            <w:r>
              <w:rPr>
                <w:sz w:val="18"/>
                <w:szCs w:val="18"/>
              </w:rPr>
              <w:t xml:space="preserve">+21.6</w:t>
            </w:r>
          </w:p>
        </w:tc>
        <w:tc>
          <w:tcPr>
            <w:tcW w:w="854" w:type="dxa"/>
          </w:tcPr>
          <w:p>
            <w:pPr>
              <w:pStyle w:val="Compact"/>
              <w:suppressLineNumbers/>
              <w:spacing w:before="0" w:after="0" w:line="240" w:lineRule="auto"/>
              <w:jc w:val="right"/>
              <w:rPr>
                <w:sz w:val="18"/>
                <w:szCs w:val="18"/>
              </w:rPr>
            </w:pPr>
            <w:r>
              <w:rPr>
                <w:sz w:val="18"/>
                <w:szCs w:val="18"/>
              </w:rPr>
              <w:t xml:space="preserve">+0.565</w:t>
            </w:r>
          </w:p>
        </w:tc>
        <w:tc>
          <w:tcPr>
            <w:tcW w:w="1210" w:type="dxa"/>
          </w:tcPr>
          <w:p>
            <w:pPr>
              <w:pStyle w:val="Compact"/>
              <w:suppressLineNumbers/>
              <w:spacing w:before="0" w:after="0" w:line="240" w:lineRule="auto"/>
              <w:jc w:val="right"/>
              <w:rPr>
                <w:sz w:val="18"/>
                <w:szCs w:val="18"/>
              </w:rPr>
            </w:pPr>
            <w:r>
              <w:rPr>
                <w:sz w:val="18"/>
                <w:szCs w:val="18"/>
              </w:rPr>
              <w:t xml:space="preserve">0.028</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MCUR1</w:t>
            </w:r>
          </w:p>
        </w:tc>
        <w:tc>
          <w:tcPr>
            <w:tcW w:w="1282" w:type="dxa"/>
          </w:tcPr>
          <w:p>
            <w:pPr>
              <w:pStyle w:val="Compact"/>
              <w:suppressLineNumbers/>
              <w:spacing w:before="0" w:after="0" w:line="240" w:lineRule="auto"/>
              <w:jc w:val="right"/>
              <w:rPr>
                <w:sz w:val="18"/>
                <w:szCs w:val="18"/>
              </w:rPr>
            </w:pPr>
            <w:r>
              <w:rPr>
                <w:sz w:val="18"/>
                <w:szCs w:val="18"/>
              </w:rPr>
              <w:t xml:space="preserve">49.95</w:t>
            </w:r>
          </w:p>
        </w:tc>
        <w:tc>
          <w:tcPr>
            <w:tcW w:w="1353" w:type="dxa"/>
          </w:tcPr>
          <w:p>
            <w:pPr>
              <w:pStyle w:val="Compact"/>
              <w:suppressLineNumbers/>
              <w:spacing w:before="0" w:after="0" w:line="240" w:lineRule="auto"/>
              <w:jc w:val="right"/>
              <w:rPr>
                <w:sz w:val="18"/>
                <w:szCs w:val="18"/>
              </w:rPr>
            </w:pPr>
            <w:r>
              <w:rPr>
                <w:sz w:val="18"/>
                <w:szCs w:val="18"/>
              </w:rPr>
              <w:t xml:space="preserve">35.18</w:t>
            </w:r>
          </w:p>
        </w:tc>
        <w:tc>
          <w:tcPr>
            <w:tcW w:w="1282" w:type="dxa"/>
          </w:tcPr>
          <w:p>
            <w:pPr>
              <w:pStyle w:val="Compact"/>
              <w:suppressLineNumbers/>
              <w:spacing w:before="0" w:after="0" w:line="240" w:lineRule="auto"/>
              <w:jc w:val="right"/>
              <w:rPr>
                <w:sz w:val="18"/>
                <w:szCs w:val="18"/>
              </w:rPr>
            </w:pPr>
            <w:r>
              <w:rPr>
                <w:sz w:val="18"/>
                <w:szCs w:val="18"/>
              </w:rPr>
              <w:t xml:space="preserve">43.58</w:t>
            </w:r>
          </w:p>
        </w:tc>
        <w:tc>
          <w:tcPr>
            <w:tcW w:w="1353" w:type="dxa"/>
          </w:tcPr>
          <w:p>
            <w:pPr>
              <w:pStyle w:val="Compact"/>
              <w:suppressLineNumbers/>
              <w:spacing w:before="0" w:after="0" w:line="240" w:lineRule="auto"/>
              <w:jc w:val="right"/>
              <w:rPr>
                <w:sz w:val="18"/>
                <w:szCs w:val="18"/>
              </w:rPr>
            </w:pPr>
            <w:r>
              <w:rPr>
                <w:sz w:val="18"/>
                <w:szCs w:val="18"/>
              </w:rPr>
              <w:t xml:space="preserve">40.17</w:t>
            </w:r>
          </w:p>
        </w:tc>
        <w:tc>
          <w:tcPr>
            <w:tcW w:w="1496" w:type="dxa"/>
          </w:tcPr>
          <w:p>
            <w:pPr>
              <w:pStyle w:val="Compact"/>
              <w:suppressLineNumbers/>
              <w:spacing w:before="0" w:after="0" w:line="240" w:lineRule="auto"/>
              <w:jc w:val="right"/>
              <w:rPr>
                <w:sz w:val="18"/>
                <w:szCs w:val="18"/>
              </w:rPr>
            </w:pPr>
            <w:r>
              <w:rPr>
                <w:sz w:val="18"/>
                <w:szCs w:val="18"/>
              </w:rPr>
              <w:t xml:space="preserve">25.1</w:t>
            </w:r>
          </w:p>
        </w:tc>
        <w:tc>
          <w:tcPr>
            <w:tcW w:w="1140" w:type="dxa"/>
          </w:tcPr>
          <w:p>
            <w:pPr>
              <w:pStyle w:val="Compact"/>
              <w:suppressLineNumbers/>
              <w:spacing w:before="0" w:after="0" w:line="240" w:lineRule="auto"/>
              <w:jc w:val="right"/>
              <w:rPr>
                <w:sz w:val="18"/>
                <w:szCs w:val="18"/>
              </w:rPr>
            </w:pPr>
            <w:r>
              <w:rPr>
                <w:sz w:val="18"/>
                <w:szCs w:val="18"/>
              </w:rPr>
              <w:t xml:space="preserve">−7.8</w:t>
            </w:r>
          </w:p>
        </w:tc>
        <w:tc>
          <w:tcPr>
            <w:tcW w:w="854" w:type="dxa"/>
          </w:tcPr>
          <w:p>
            <w:pPr>
              <w:pStyle w:val="Compact"/>
              <w:suppressLineNumbers/>
              <w:spacing w:before="0" w:after="0" w:line="240" w:lineRule="auto"/>
              <w:jc w:val="right"/>
              <w:rPr>
                <w:sz w:val="18"/>
                <w:szCs w:val="18"/>
              </w:rPr>
            </w:pPr>
            <w:r>
              <w:rPr>
                <w:sz w:val="18"/>
                <w:szCs w:val="18"/>
              </w:rPr>
              <w:t xml:space="preserve">+0.044</w:t>
            </w:r>
          </w:p>
        </w:tc>
        <w:tc>
          <w:tcPr>
            <w:tcW w:w="1210" w:type="dxa"/>
          </w:tcPr>
          <w:p>
            <w:pPr>
              <w:pStyle w:val="Compact"/>
              <w:suppressLineNumbers/>
              <w:spacing w:before="0" w:after="0" w:line="240" w:lineRule="auto"/>
              <w:jc w:val="right"/>
              <w:rPr>
                <w:sz w:val="18"/>
                <w:szCs w:val="18"/>
              </w:rPr>
            </w:pPr>
            <w:r>
              <w:rPr>
                <w:sz w:val="18"/>
                <w:szCs w:val="18"/>
              </w:rPr>
              <w:t xml:space="preserve">0.62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MCUB</w:t>
            </w:r>
          </w:p>
        </w:tc>
        <w:tc>
          <w:tcPr>
            <w:tcW w:w="1282" w:type="dxa"/>
          </w:tcPr>
          <w:p>
            <w:pPr>
              <w:pStyle w:val="Compact"/>
              <w:suppressLineNumbers/>
              <w:spacing w:before="0" w:after="0" w:line="240" w:lineRule="auto"/>
              <w:jc w:val="right"/>
              <w:rPr>
                <w:sz w:val="18"/>
                <w:szCs w:val="18"/>
              </w:rPr>
            </w:pPr>
            <w:r>
              <w:rPr>
                <w:sz w:val="18"/>
                <w:szCs w:val="18"/>
              </w:rPr>
              <w:t xml:space="preserve">18.28</w:t>
            </w:r>
          </w:p>
        </w:tc>
        <w:tc>
          <w:tcPr>
            <w:tcW w:w="1353" w:type="dxa"/>
          </w:tcPr>
          <w:p>
            <w:pPr>
              <w:pStyle w:val="Compact"/>
              <w:suppressLineNumbers/>
              <w:spacing w:before="0" w:after="0" w:line="240" w:lineRule="auto"/>
              <w:jc w:val="right"/>
              <w:rPr>
                <w:sz w:val="18"/>
                <w:szCs w:val="18"/>
              </w:rPr>
            </w:pPr>
            <w:r>
              <w:rPr>
                <w:sz w:val="18"/>
                <w:szCs w:val="18"/>
              </w:rPr>
              <w:t xml:space="preserve">4.69</w:t>
            </w:r>
          </w:p>
        </w:tc>
        <w:tc>
          <w:tcPr>
            <w:tcW w:w="1282" w:type="dxa"/>
          </w:tcPr>
          <w:p>
            <w:pPr>
              <w:pStyle w:val="Compact"/>
              <w:suppressLineNumbers/>
              <w:spacing w:before="0" w:after="0" w:line="240" w:lineRule="auto"/>
              <w:jc w:val="right"/>
              <w:rPr>
                <w:sz w:val="18"/>
                <w:szCs w:val="18"/>
              </w:rPr>
            </w:pPr>
            <w:r>
              <w:rPr>
                <w:sz w:val="18"/>
                <w:szCs w:val="18"/>
              </w:rPr>
              <w:t xml:space="preserve">15.96</w:t>
            </w:r>
          </w:p>
        </w:tc>
        <w:tc>
          <w:tcPr>
            <w:tcW w:w="1353" w:type="dxa"/>
          </w:tcPr>
          <w:p>
            <w:pPr>
              <w:pStyle w:val="Compact"/>
              <w:suppressLineNumbers/>
              <w:spacing w:before="0" w:after="0" w:line="240" w:lineRule="auto"/>
              <w:jc w:val="right"/>
              <w:rPr>
                <w:sz w:val="18"/>
                <w:szCs w:val="18"/>
              </w:rPr>
            </w:pPr>
            <w:r>
              <w:rPr>
                <w:sz w:val="18"/>
                <w:szCs w:val="18"/>
              </w:rPr>
              <w:t xml:space="preserve">5.36</w:t>
            </w:r>
          </w:p>
        </w:tc>
        <w:tc>
          <w:tcPr>
            <w:tcW w:w="1496" w:type="dxa"/>
          </w:tcPr>
          <w:p>
            <w:pPr>
              <w:pStyle w:val="Compact"/>
              <w:suppressLineNumbers/>
              <w:spacing w:before="0" w:after="0" w:line="240" w:lineRule="auto"/>
              <w:jc w:val="right"/>
              <w:rPr>
                <w:sz w:val="18"/>
                <w:szCs w:val="18"/>
              </w:rPr>
            </w:pPr>
            <w:r>
              <w:rPr>
                <w:sz w:val="18"/>
                <w:szCs w:val="18"/>
              </w:rPr>
              <w:t xml:space="preserve">9.2</w:t>
            </w:r>
          </w:p>
        </w:tc>
        <w:tc>
          <w:tcPr>
            <w:tcW w:w="1140" w:type="dxa"/>
          </w:tcPr>
          <w:p>
            <w:pPr>
              <w:pStyle w:val="Compact"/>
              <w:suppressLineNumbers/>
              <w:spacing w:before="0" w:after="0" w:line="240" w:lineRule="auto"/>
              <w:jc w:val="right"/>
              <w:rPr>
                <w:sz w:val="18"/>
                <w:szCs w:val="18"/>
              </w:rPr>
            </w:pPr>
            <w:r>
              <w:rPr>
                <w:sz w:val="18"/>
                <w:szCs w:val="18"/>
              </w:rPr>
              <w:t xml:space="preserve">−66.4</w:t>
            </w:r>
          </w:p>
        </w:tc>
        <w:tc>
          <w:tcPr>
            <w:tcW w:w="854" w:type="dxa"/>
          </w:tcPr>
          <w:p>
            <w:pPr>
              <w:pStyle w:val="Compact"/>
              <w:suppressLineNumbers/>
              <w:spacing w:before="0" w:after="0" w:line="240" w:lineRule="auto"/>
              <w:jc w:val="right"/>
              <w:rPr>
                <w:sz w:val="18"/>
                <w:szCs w:val="18"/>
              </w:rPr>
            </w:pPr>
            <w:r>
              <w:rPr>
                <w:sz w:val="18"/>
                <w:szCs w:val="18"/>
              </w:rPr>
              <w:t xml:space="preserve">−1.655</w:t>
            </w:r>
          </w:p>
        </w:tc>
        <w:tc>
          <w:tcPr>
            <w:tcW w:w="1210" w:type="dxa"/>
          </w:tcPr>
          <w:p>
            <w:pPr>
              <w:pStyle w:val="Compact"/>
              <w:suppressLineNumbers/>
              <w:spacing w:before="0" w:after="0" w:line="240" w:lineRule="auto"/>
              <w:jc w:val="right"/>
              <w:rPr>
                <w:sz w:val="18"/>
                <w:szCs w:val="18"/>
              </w:rPr>
            </w:pPr>
            <w:r>
              <w:rPr>
                <w:sz w:val="18"/>
                <w:szCs w:val="18"/>
              </w:rPr>
              <w:t xml:space="preserve">1.5 × 10⁻³⁰</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198.64</w:t>
            </w:r>
          </w:p>
        </w:tc>
        <w:tc>
          <w:tcPr>
            <w:tcW w:w="1353" w:type="dxa"/>
          </w:tcPr>
          <w:p>
            <w:pPr>
              <w:pStyle w:val="Compact"/>
              <w:suppressLineNumbers/>
              <w:spacing w:before="0" w:after="0" w:line="240" w:lineRule="auto"/>
              <w:jc w:val="right"/>
              <w:rPr>
                <w:sz w:val="18"/>
                <w:szCs w:val="18"/>
              </w:rPr>
            </w:pPr>
            <w:r>
              <w:rPr>
                <w:sz w:val="18"/>
                <w:szCs w:val="18"/>
              </w:rPr>
              <w:t xml:space="preserve">113.57</w:t>
            </w:r>
          </w:p>
        </w:tc>
        <w:tc>
          <w:tcPr>
            <w:tcW w:w="1282" w:type="dxa"/>
          </w:tcPr>
          <w:p>
            <w:pPr>
              <w:pStyle w:val="Compact"/>
              <w:suppressLineNumbers/>
              <w:spacing w:before="0" w:after="0" w:line="240" w:lineRule="auto"/>
              <w:jc w:val="right"/>
              <w:rPr>
                <w:sz w:val="18"/>
                <w:szCs w:val="18"/>
              </w:rPr>
            </w:pPr>
            <w:r>
              <w:rPr>
                <w:sz w:val="18"/>
                <w:szCs w:val="18"/>
              </w:rPr>
              <w:t xml:space="preserve">173.34</w:t>
            </w:r>
          </w:p>
        </w:tc>
        <w:tc>
          <w:tcPr>
            <w:tcW w:w="1353" w:type="dxa"/>
          </w:tcPr>
          <w:p>
            <w:pPr>
              <w:pStyle w:val="Compact"/>
              <w:suppressLineNumbers/>
              <w:spacing w:before="0" w:after="0" w:line="240" w:lineRule="auto"/>
              <w:jc w:val="right"/>
              <w:rPr>
                <w:sz w:val="18"/>
                <w:szCs w:val="18"/>
              </w:rPr>
            </w:pPr>
            <w:r>
              <w:rPr>
                <w:sz w:val="18"/>
                <w:szCs w:val="18"/>
              </w:rPr>
              <w:t xml:space="preserve">129.73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−25.2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PMCA (Ca²⁺ extrusion)</w:t>
            </w:r>
          </w:p>
        </w:tc>
        <w:tc>
          <w:tcPr>
            <w:tcW w:w="1210" w:type="dxa"/>
          </w:tcPr>
          <w:p>
            <w:pPr>
              <w:pStyle w:val="Compact"/>
              <w:suppressLineNumbers/>
              <w:spacing w:before="0" w:after="0" w:line="240" w:lineRule="auto"/>
              <w:jc w:val="left"/>
              <w:rPr>
                <w:sz w:val="18"/>
                <w:szCs w:val="18"/>
              </w:rPr>
            </w:pPr>
            <w:r>
              <w:rPr>
                <w:b/>
                <w:bCs/>
                <w:i/>
                <w:iCs/>
                <w:sz w:val="18"/>
                <w:szCs w:val="18"/>
              </w:rPr>
              <w:t xml:space="preserve">ATP2B1</w:t>
            </w:r>
          </w:p>
        </w:tc>
        <w:tc>
          <w:tcPr>
            <w:tcW w:w="1282" w:type="dxa"/>
          </w:tcPr>
          <w:p>
            <w:pPr>
              <w:pStyle w:val="Compact"/>
              <w:suppressLineNumbers/>
              <w:spacing w:before="0" w:after="0" w:line="240" w:lineRule="auto"/>
              <w:jc w:val="right"/>
              <w:rPr>
                <w:sz w:val="18"/>
                <w:szCs w:val="18"/>
              </w:rPr>
            </w:pPr>
            <w:r>
              <w:rPr>
                <w:sz w:val="18"/>
                <w:szCs w:val="18"/>
              </w:rPr>
              <w:t xml:space="preserve">20.26</w:t>
            </w:r>
          </w:p>
        </w:tc>
        <w:tc>
          <w:tcPr>
            <w:tcW w:w="1353" w:type="dxa"/>
          </w:tcPr>
          <w:p>
            <w:pPr>
              <w:pStyle w:val="Compact"/>
              <w:suppressLineNumbers/>
              <w:spacing w:before="0" w:after="0" w:line="240" w:lineRule="auto"/>
              <w:jc w:val="right"/>
              <w:rPr>
                <w:sz w:val="18"/>
                <w:szCs w:val="18"/>
              </w:rPr>
            </w:pPr>
            <w:r>
              <w:rPr>
                <w:sz w:val="18"/>
                <w:szCs w:val="18"/>
              </w:rPr>
              <w:t xml:space="preserve">18.77</w:t>
            </w:r>
          </w:p>
        </w:tc>
        <w:tc>
          <w:tcPr>
            <w:tcW w:w="1282" w:type="dxa"/>
          </w:tcPr>
          <w:p>
            <w:pPr>
              <w:pStyle w:val="Compact"/>
              <w:suppressLineNumbers/>
              <w:spacing w:before="0" w:after="0" w:line="240" w:lineRule="auto"/>
              <w:jc w:val="right"/>
              <w:rPr>
                <w:sz w:val="18"/>
                <w:szCs w:val="18"/>
              </w:rPr>
            </w:pPr>
            <w:r>
              <w:rPr>
                <w:sz w:val="18"/>
                <w:szCs w:val="18"/>
              </w:rPr>
              <w:t xml:space="preserve">17.70</w:t>
            </w:r>
          </w:p>
        </w:tc>
        <w:tc>
          <w:tcPr>
            <w:tcW w:w="1353" w:type="dxa"/>
          </w:tcPr>
          <w:p>
            <w:pPr>
              <w:pStyle w:val="Compact"/>
              <w:suppressLineNumbers/>
              <w:spacing w:before="0" w:after="0" w:line="240" w:lineRule="auto"/>
              <w:jc w:val="right"/>
              <w:rPr>
                <w:sz w:val="18"/>
                <w:szCs w:val="18"/>
              </w:rPr>
            </w:pPr>
            <w:r>
              <w:rPr>
                <w:sz w:val="18"/>
                <w:szCs w:val="18"/>
              </w:rPr>
              <w:t xml:space="preserve">21.45</w:t>
            </w:r>
          </w:p>
        </w:tc>
        <w:tc>
          <w:tcPr>
            <w:tcW w:w="1496" w:type="dxa"/>
          </w:tcPr>
          <w:p>
            <w:pPr>
              <w:pStyle w:val="Compact"/>
              <w:suppressLineNumbers/>
              <w:spacing w:before="0" w:after="0" w:line="240" w:lineRule="auto"/>
              <w:jc w:val="right"/>
              <w:rPr>
                <w:sz w:val="18"/>
                <w:szCs w:val="18"/>
              </w:rPr>
            </w:pPr>
            <w:r>
              <w:rPr>
                <w:sz w:val="18"/>
                <w:szCs w:val="18"/>
              </w:rPr>
              <w:t xml:space="preserve">59.0</w:t>
            </w:r>
          </w:p>
        </w:tc>
        <w:tc>
          <w:tcPr>
            <w:tcW w:w="1140" w:type="dxa"/>
          </w:tcPr>
          <w:p>
            <w:pPr>
              <w:pStyle w:val="Compact"/>
              <w:suppressLineNumbers/>
              <w:spacing w:before="0" w:after="0" w:line="240" w:lineRule="auto"/>
              <w:jc w:val="right"/>
              <w:rPr>
                <w:sz w:val="18"/>
                <w:szCs w:val="18"/>
              </w:rPr>
            </w:pPr>
            <w:r>
              <w:rPr>
                <w:sz w:val="18"/>
                <w:szCs w:val="18"/>
              </w:rPr>
              <w:t xml:space="preserve">+21.2</w:t>
            </w:r>
          </w:p>
        </w:tc>
        <w:tc>
          <w:tcPr>
            <w:tcW w:w="854" w:type="dxa"/>
          </w:tcPr>
          <w:p>
            <w:pPr>
              <w:pStyle w:val="Compact"/>
              <w:suppressLineNumbers/>
              <w:spacing w:before="0" w:after="0" w:line="240" w:lineRule="auto"/>
              <w:jc w:val="right"/>
              <w:rPr>
                <w:sz w:val="18"/>
                <w:szCs w:val="18"/>
              </w:rPr>
            </w:pPr>
            <w:r>
              <w:rPr>
                <w:sz w:val="18"/>
                <w:szCs w:val="18"/>
              </w:rPr>
              <w:t xml:space="preserve">+0.290</w:t>
            </w:r>
          </w:p>
        </w:tc>
        <w:tc>
          <w:tcPr>
            <w:tcW w:w="1210" w:type="dxa"/>
          </w:tcPr>
          <w:p>
            <w:pPr>
              <w:pStyle w:val="Compact"/>
              <w:suppressLineNumbers/>
              <w:spacing w:before="0" w:after="0" w:line="240" w:lineRule="auto"/>
              <w:jc w:val="right"/>
              <w:rPr>
                <w:sz w:val="18"/>
                <w:szCs w:val="18"/>
              </w:rPr>
            </w:pPr>
            <w:r>
              <w:rPr>
                <w:sz w:val="18"/>
                <w:szCs w:val="18"/>
              </w:rPr>
              <w:t xml:space="preserve">2.8 × 10⁻⁵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ATP2B2</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6.54</w:t>
            </w:r>
          </w:p>
        </w:tc>
        <w:tc>
          <w:tcPr>
            <w:tcW w:w="1282" w:type="dxa"/>
          </w:tcPr>
          <w:p>
            <w:pPr>
              <w:pStyle w:val="Compact"/>
              <w:suppressLineNumbers/>
              <w:spacing w:before="0" w:after="0" w:line="240" w:lineRule="auto"/>
              <w:jc w:val="right"/>
              <w:rPr>
                <w:sz w:val="18"/>
                <w:szCs w:val="18"/>
              </w:rPr>
            </w:pPr>
            <w:r>
              <w:rPr>
                <w:sz w:val="18"/>
                <w:szCs w:val="18"/>
              </w:rPr>
              <w:t xml:space="preserve">2.43</w:t>
            </w:r>
          </w:p>
        </w:tc>
        <w:tc>
          <w:tcPr>
            <w:tcW w:w="1353" w:type="dxa"/>
          </w:tcPr>
          <w:p>
            <w:pPr>
              <w:pStyle w:val="Compact"/>
              <w:suppressLineNumbers/>
              <w:spacing w:before="0" w:after="0" w:line="240" w:lineRule="auto"/>
              <w:jc w:val="right"/>
              <w:rPr>
                <w:sz w:val="18"/>
                <w:szCs w:val="18"/>
              </w:rPr>
            </w:pPr>
            <w:r>
              <w:rPr>
                <w:sz w:val="18"/>
                <w:szCs w:val="18"/>
              </w:rPr>
              <w:t xml:space="preserve">7.48</w:t>
            </w:r>
          </w:p>
        </w:tc>
        <w:tc>
          <w:tcPr>
            <w:tcW w:w="1496" w:type="dxa"/>
          </w:tcPr>
          <w:p>
            <w:pPr>
              <w:pStyle w:val="Compact"/>
              <w:suppressLineNumbers/>
              <w:spacing w:before="0" w:after="0" w:line="240" w:lineRule="auto"/>
              <w:jc w:val="right"/>
              <w:rPr>
                <w:sz w:val="18"/>
                <w:szCs w:val="18"/>
              </w:rPr>
            </w:pPr>
            <w:r>
              <w:rPr>
                <w:sz w:val="18"/>
                <w:szCs w:val="18"/>
              </w:rPr>
              <w:t xml:space="preserve">8.1</w:t>
            </w:r>
          </w:p>
        </w:tc>
        <w:tc>
          <w:tcPr>
            <w:tcW w:w="1140" w:type="dxa"/>
          </w:tcPr>
          <w:p>
            <w:pPr>
              <w:pStyle w:val="Compact"/>
              <w:suppressLineNumbers/>
              <w:spacing w:before="0" w:after="0" w:line="240" w:lineRule="auto"/>
              <w:jc w:val="right"/>
              <w:rPr>
                <w:sz w:val="18"/>
                <w:szCs w:val="18"/>
              </w:rPr>
            </w:pPr>
            <w:r>
              <w:rPr>
                <w:sz w:val="18"/>
                <w:szCs w:val="18"/>
              </w:rPr>
              <w:t xml:space="preserve">+207.3</w:t>
            </w:r>
          </w:p>
        </w:tc>
        <w:tc>
          <w:tcPr>
            <w:tcW w:w="854" w:type="dxa"/>
          </w:tcPr>
          <w:p>
            <w:pPr>
              <w:pStyle w:val="Compact"/>
              <w:suppressLineNumbers/>
              <w:spacing w:before="0" w:after="0" w:line="240" w:lineRule="auto"/>
              <w:jc w:val="right"/>
              <w:rPr>
                <w:sz w:val="18"/>
                <w:szCs w:val="18"/>
              </w:rPr>
            </w:pPr>
            <w:r>
              <w:rPr>
                <w:sz w:val="18"/>
                <w:szCs w:val="18"/>
              </w:rPr>
              <w:t xml:space="preserve">+1.346</w:t>
            </w:r>
          </w:p>
        </w:tc>
        <w:tc>
          <w:tcPr>
            <w:tcW w:w="1210" w:type="dxa"/>
          </w:tcPr>
          <w:p>
            <w:pPr>
              <w:pStyle w:val="Compact"/>
              <w:suppressLineNumbers/>
              <w:spacing w:before="0" w:after="0" w:line="240" w:lineRule="auto"/>
              <w:jc w:val="right"/>
              <w:rPr>
                <w:sz w:val="18"/>
                <w:szCs w:val="18"/>
              </w:rPr>
            </w:pPr>
            <w:r>
              <w:rPr>
                <w:sz w:val="18"/>
                <w:szCs w:val="18"/>
              </w:rPr>
              <w:t xml:space="preserve">8.6 × 10⁻³⁹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ATP2B3</w:t>
            </w:r>
          </w:p>
        </w:tc>
        <w:tc>
          <w:tcPr>
            <w:tcW w:w="1282" w:type="dxa"/>
          </w:tcPr>
          <w:p>
            <w:pPr>
              <w:pStyle w:val="Compact"/>
              <w:suppressLineNumbers/>
              <w:spacing w:before="0" w:after="0" w:line="240" w:lineRule="auto"/>
              <w:jc w:val="right"/>
              <w:rPr>
                <w:sz w:val="18"/>
                <w:szCs w:val="18"/>
              </w:rPr>
            </w:pPr>
            <w:r>
              <w:rPr>
                <w:sz w:val="18"/>
                <w:szCs w:val="18"/>
              </w:rPr>
              <w:t xml:space="preserve">0.31</w:t>
            </w:r>
          </w:p>
        </w:tc>
        <w:tc>
          <w:tcPr>
            <w:tcW w:w="1353" w:type="dxa"/>
          </w:tcPr>
          <w:p>
            <w:pPr>
              <w:pStyle w:val="Compact"/>
              <w:suppressLineNumbers/>
              <w:spacing w:before="0" w:after="0" w:line="240" w:lineRule="auto"/>
              <w:jc w:val="right"/>
              <w:rPr>
                <w:sz w:val="18"/>
                <w:szCs w:val="18"/>
              </w:rPr>
            </w:pPr>
            <w:r>
              <w:rPr>
                <w:sz w:val="18"/>
                <w:szCs w:val="18"/>
              </w:rPr>
              <w:t xml:space="preserve">0.97</w:t>
            </w:r>
          </w:p>
        </w:tc>
        <w:tc>
          <w:tcPr>
            <w:tcW w:w="1282" w:type="dxa"/>
          </w:tcPr>
          <w:p>
            <w:pPr>
              <w:pStyle w:val="Compact"/>
              <w:suppressLineNumbers/>
              <w:spacing w:before="0" w:after="0" w:line="240" w:lineRule="auto"/>
              <w:jc w:val="right"/>
              <w:rPr>
                <w:sz w:val="18"/>
                <w:szCs w:val="18"/>
              </w:rPr>
            </w:pPr>
            <w:r>
              <w:rPr>
                <w:sz w:val="18"/>
                <w:szCs w:val="18"/>
              </w:rPr>
              <w:t xml:space="preserve">0.27</w:t>
            </w:r>
          </w:p>
        </w:tc>
        <w:tc>
          <w:tcPr>
            <w:tcW w:w="1353" w:type="dxa"/>
          </w:tcPr>
          <w:p>
            <w:pPr>
              <w:pStyle w:val="Compact"/>
              <w:suppressLineNumbers/>
              <w:spacing w:before="0" w:after="0" w:line="240" w:lineRule="auto"/>
              <w:jc w:val="right"/>
              <w:rPr>
                <w:sz w:val="18"/>
                <w:szCs w:val="18"/>
              </w:rPr>
            </w:pPr>
            <w:r>
              <w:rPr>
                <w:sz w:val="18"/>
                <w:szCs w:val="18"/>
              </w:rPr>
              <w:t xml:space="preserve">1.11</w:t>
            </w:r>
          </w:p>
        </w:tc>
        <w:tc>
          <w:tcPr>
            <w:tcW w:w="1496" w:type="dxa"/>
          </w:tcPr>
          <w:p>
            <w:pPr>
              <w:pStyle w:val="Compact"/>
              <w:suppressLineNumbers/>
              <w:spacing w:before="0" w:after="0" w:line="240" w:lineRule="auto"/>
              <w:jc w:val="right"/>
              <w:rPr>
                <w:sz w:val="18"/>
                <w:szCs w:val="18"/>
              </w:rPr>
            </w:pPr>
            <w:r>
              <w:rPr>
                <w:sz w:val="18"/>
                <w:szCs w:val="18"/>
              </w:rPr>
              <w:t xml:space="preserve">0.9</w:t>
            </w:r>
          </w:p>
        </w:tc>
        <w:tc>
          <w:tcPr>
            <w:tcW w:w="1140" w:type="dxa"/>
          </w:tcPr>
          <w:p>
            <w:pPr>
              <w:pStyle w:val="Compact"/>
              <w:suppressLineNumbers/>
              <w:spacing w:before="0" w:after="0" w:line="240" w:lineRule="auto"/>
              <w:jc w:val="right"/>
              <w:rPr>
                <w:sz w:val="18"/>
                <w:szCs w:val="18"/>
              </w:rPr>
            </w:pPr>
            <w:r>
              <w:rPr>
                <w:sz w:val="18"/>
                <w:szCs w:val="18"/>
              </w:rPr>
              <w:t xml:space="preserve">+306.6</w:t>
            </w:r>
          </w:p>
        </w:tc>
        <w:tc>
          <w:tcPr>
            <w:tcW w:w="854" w:type="dxa"/>
          </w:tcPr>
          <w:p>
            <w:pPr>
              <w:pStyle w:val="Compact"/>
              <w:suppressLineNumbers/>
              <w:spacing w:before="0" w:after="0" w:line="240" w:lineRule="auto"/>
              <w:jc w:val="right"/>
              <w:rPr>
                <w:sz w:val="18"/>
                <w:szCs w:val="18"/>
              </w:rPr>
            </w:pPr>
            <w:r>
              <w:rPr>
                <w:sz w:val="18"/>
                <w:szCs w:val="18"/>
              </w:rPr>
              <w:t xml:space="preserve">+2.584</w:t>
            </w:r>
          </w:p>
        </w:tc>
        <w:tc>
          <w:tcPr>
            <w:tcW w:w="1210" w:type="dxa"/>
          </w:tcPr>
          <w:p>
            <w:pPr>
              <w:pStyle w:val="Compact"/>
              <w:suppressLineNumbers/>
              <w:spacing w:before="0" w:after="0" w:line="240" w:lineRule="auto"/>
              <w:jc w:val="right"/>
              <w:rPr>
                <w:sz w:val="18"/>
                <w:szCs w:val="18"/>
              </w:rPr>
            </w:pPr>
            <w:r>
              <w:rPr>
                <w:sz w:val="18"/>
                <w:szCs w:val="18"/>
              </w:rPr>
              <w:t xml:space="preserve">2.2 × 10⁻²⁴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ATP2B4</w:t>
            </w:r>
          </w:p>
        </w:tc>
        <w:tc>
          <w:tcPr>
            <w:tcW w:w="1282" w:type="dxa"/>
          </w:tcPr>
          <w:p>
            <w:pPr>
              <w:pStyle w:val="Compact"/>
              <w:suppressLineNumbers/>
              <w:spacing w:before="0" w:after="0" w:line="240" w:lineRule="auto"/>
              <w:jc w:val="right"/>
              <w:rPr>
                <w:sz w:val="18"/>
                <w:szCs w:val="18"/>
              </w:rPr>
            </w:pPr>
            <w:r>
              <w:rPr>
                <w:sz w:val="18"/>
                <w:szCs w:val="18"/>
              </w:rPr>
              <w:t xml:space="preserve">10.99</w:t>
            </w:r>
          </w:p>
        </w:tc>
        <w:tc>
          <w:tcPr>
            <w:tcW w:w="1353" w:type="dxa"/>
          </w:tcPr>
          <w:p>
            <w:pPr>
              <w:pStyle w:val="Compact"/>
              <w:suppressLineNumbers/>
              <w:spacing w:before="0" w:after="0" w:line="240" w:lineRule="auto"/>
              <w:jc w:val="right"/>
              <w:rPr>
                <w:sz w:val="18"/>
                <w:szCs w:val="18"/>
              </w:rPr>
            </w:pPr>
            <w:r>
              <w:rPr>
                <w:sz w:val="18"/>
                <w:szCs w:val="18"/>
              </w:rPr>
              <w:t xml:space="preserve">9.21</w:t>
            </w:r>
          </w:p>
        </w:tc>
        <w:tc>
          <w:tcPr>
            <w:tcW w:w="1282" w:type="dxa"/>
          </w:tcPr>
          <w:p>
            <w:pPr>
              <w:pStyle w:val="Compact"/>
              <w:suppressLineNumbers/>
              <w:spacing w:before="0" w:after="0" w:line="240" w:lineRule="auto"/>
              <w:jc w:val="right"/>
              <w:rPr>
                <w:sz w:val="18"/>
                <w:szCs w:val="18"/>
              </w:rPr>
            </w:pPr>
            <w:r>
              <w:rPr>
                <w:sz w:val="18"/>
                <w:szCs w:val="18"/>
              </w:rPr>
              <w:t xml:space="preserve">9.58</w:t>
            </w:r>
          </w:p>
        </w:tc>
        <w:tc>
          <w:tcPr>
            <w:tcW w:w="1353" w:type="dxa"/>
          </w:tcPr>
          <w:p>
            <w:pPr>
              <w:pStyle w:val="Compact"/>
              <w:suppressLineNumbers/>
              <w:spacing w:before="0" w:after="0" w:line="240" w:lineRule="auto"/>
              <w:jc w:val="right"/>
              <w:rPr>
                <w:sz w:val="18"/>
                <w:szCs w:val="18"/>
              </w:rPr>
            </w:pPr>
            <w:r>
              <w:rPr>
                <w:sz w:val="18"/>
                <w:szCs w:val="18"/>
              </w:rPr>
              <w:t xml:space="preserve">10.52</w:t>
            </w:r>
          </w:p>
        </w:tc>
        <w:tc>
          <w:tcPr>
            <w:tcW w:w="1496" w:type="dxa"/>
          </w:tcPr>
          <w:p>
            <w:pPr>
              <w:pStyle w:val="Compact"/>
              <w:suppressLineNumbers/>
              <w:spacing w:before="0" w:after="0" w:line="240" w:lineRule="auto"/>
              <w:jc w:val="right"/>
              <w:rPr>
                <w:sz w:val="18"/>
                <w:szCs w:val="18"/>
              </w:rPr>
            </w:pPr>
            <w:r>
              <w:rPr>
                <w:sz w:val="18"/>
                <w:szCs w:val="18"/>
              </w:rPr>
              <w:t xml:space="preserve">32.0</w:t>
            </w:r>
          </w:p>
        </w:tc>
        <w:tc>
          <w:tcPr>
            <w:tcW w:w="1140" w:type="dxa"/>
          </w:tcPr>
          <w:p>
            <w:pPr>
              <w:pStyle w:val="Compact"/>
              <w:suppressLineNumbers/>
              <w:spacing w:before="0" w:after="0" w:line="240" w:lineRule="auto"/>
              <w:jc w:val="right"/>
              <w:rPr>
                <w:sz w:val="18"/>
                <w:szCs w:val="18"/>
              </w:rPr>
            </w:pPr>
            <w:r>
              <w:rPr>
                <w:sz w:val="18"/>
                <w:szCs w:val="18"/>
              </w:rPr>
              <w:t xml:space="preserve">+9.8</w:t>
            </w:r>
          </w:p>
        </w:tc>
        <w:tc>
          <w:tcPr>
            <w:tcW w:w="854" w:type="dxa"/>
          </w:tcPr>
          <w:p>
            <w:pPr>
              <w:pStyle w:val="Compact"/>
              <w:suppressLineNumbers/>
              <w:spacing w:before="0" w:after="0" w:line="240" w:lineRule="auto"/>
              <w:jc w:val="right"/>
              <w:rPr>
                <w:sz w:val="18"/>
                <w:szCs w:val="18"/>
              </w:rPr>
            </w:pPr>
            <w:r>
              <w:rPr>
                <w:sz w:val="18"/>
                <w:szCs w:val="18"/>
              </w:rPr>
              <w:t xml:space="preserve">+0.308</w:t>
            </w:r>
          </w:p>
        </w:tc>
        <w:tc>
          <w:tcPr>
            <w:tcW w:w="1210" w:type="dxa"/>
          </w:tcPr>
          <w:p>
            <w:pPr>
              <w:pStyle w:val="Compact"/>
              <w:suppressLineNumbers/>
              <w:spacing w:before="0" w:after="0" w:line="240" w:lineRule="auto"/>
              <w:jc w:val="right"/>
              <w:rPr>
                <w:sz w:val="18"/>
                <w:szCs w:val="18"/>
              </w:rPr>
            </w:pPr>
            <w:r>
              <w:rPr>
                <w:sz w:val="18"/>
                <w:szCs w:val="18"/>
              </w:rPr>
              <w:t xml:space="preserve">5.0 × 10⁻⁶</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34.34</w:t>
            </w:r>
          </w:p>
        </w:tc>
        <w:tc>
          <w:tcPr>
            <w:tcW w:w="1353" w:type="dxa"/>
          </w:tcPr>
          <w:p>
            <w:pPr>
              <w:pStyle w:val="Compact"/>
              <w:suppressLineNumbers/>
              <w:spacing w:before="0" w:after="0" w:line="240" w:lineRule="auto"/>
              <w:jc w:val="right"/>
              <w:rPr>
                <w:sz w:val="18"/>
                <w:szCs w:val="18"/>
              </w:rPr>
            </w:pPr>
            <w:r>
              <w:rPr>
                <w:sz w:val="18"/>
                <w:szCs w:val="18"/>
              </w:rPr>
              <w:t xml:space="preserve">35.49</w:t>
            </w:r>
          </w:p>
        </w:tc>
        <w:tc>
          <w:tcPr>
            <w:tcW w:w="1282" w:type="dxa"/>
          </w:tcPr>
          <w:p>
            <w:pPr>
              <w:pStyle w:val="Compact"/>
              <w:suppressLineNumbers/>
              <w:spacing w:before="0" w:after="0" w:line="240" w:lineRule="auto"/>
              <w:jc w:val="right"/>
              <w:rPr>
                <w:sz w:val="18"/>
                <w:szCs w:val="18"/>
              </w:rPr>
            </w:pPr>
            <w:r>
              <w:rPr>
                <w:sz w:val="18"/>
                <w:szCs w:val="18"/>
              </w:rPr>
              <w:t xml:space="preserve">29.99</w:t>
            </w:r>
          </w:p>
        </w:tc>
        <w:tc>
          <w:tcPr>
            <w:tcW w:w="1353" w:type="dxa"/>
          </w:tcPr>
          <w:p>
            <w:pPr>
              <w:pStyle w:val="Compact"/>
              <w:suppressLineNumbers/>
              <w:spacing w:before="0" w:after="0" w:line="240" w:lineRule="auto"/>
              <w:jc w:val="right"/>
              <w:rPr>
                <w:sz w:val="18"/>
                <w:szCs w:val="18"/>
              </w:rPr>
            </w:pPr>
            <w:r>
              <w:rPr>
                <w:sz w:val="18"/>
                <w:szCs w:val="18"/>
              </w:rPr>
              <w:t xml:space="preserve">40.56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+35.2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TPM (transcripts per million), mean of three libraries per group; adjusted TPM, after per-library median-of-ratios scaling for library composition (Methods 2.10). Share, percentage of the family total in control cells; bold, dominant member (&gt; 50%). log2FC and p_adj from DESeq2 on the gene-level Salmon counts; NA, not computed; CRAC, Ca²⁺ release-activated Ca²⁺.</w:t>
      </w:r>
    </w:p>
    <w:p>
      <w:pPr>
        <w:pStyle w:val="BodyText"/>
        <w:keepNext/>
        <w:suppressLineNumbers/>
        <w:spacing w:before="0" w:after="120" w:line="240" w:lineRule="auto"/>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pPr>
    <w:rPr>
      <w:rFonts w:ascii="Times New Roman" w:hAnsi="Times New Roman"/>
      <w:sz w:val="22"/>
    </w:rPr>
  </w:style>
  <w:style w:styleId="BodyText" w:type="paragraph">
    <w:name w:val="Body Text"/>
    <w:basedOn w:val="Normal"/>
    <w:link w:val="BodyTextChar"/>
    <w:qFormat/>
    <w:pPr>
      <w:spacing w:after="120" w:before="0" w:line="283" w:lineRule="auto"/>
    </w:pPr>
    <w:rPr>
      <w:rFonts w:ascii="Times New Roman" w:hAnsi="Times New Roman"/>
      <w:sz w:val="22"/>
    </w:rPr>
  </w:style>
  <w:style w:customStyle="1" w:styleId="FirstParagraph" w:type="paragraph">
    <w:name w:val="First Paragraph"/>
    <w:basedOn w:val="BodyText"/>
    <w:next w:val="BodyText"/>
    <w:qFormat/>
    <w:pPr>
      <w:spacing w:line="283" w:lineRule="auto" w:before="0" w:after="120"/>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