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rPr>
          <w:b w:val="1"/>
        </w:rPr>
        <w:jc w:val="center"/>
      </w:pPr>
      <w:r>
        <w:rPr>
          <w:b w:val="1"/>
        </w:rPr>
        <w:t xml:space="preserve">TDP-43 knockdown is associated with reduced store-operated Ca²⁺ entry and altered calcium-regulatory RNA profiles in SH-SY5Y cells</w:t>
      </w:r>
    </w:p>
    <w:p>
      <w:pPr>
        <w:pStyle w:val="FirstParagraph"/>
        <w:jc w:val="center"/>
      </w:pPr>
      <w:r>
        <w:rPr>
          <w:b/>
          <w:bCs/>
        </w:rPr>
        <w:t xml:space="preserve">Elmasnur Yılmazᵃ, Yasemin Eraçᵃ,*</w:t>
      </w:r>
    </w:p>
    <w:p>
      <w:pPr>
        <w:pStyle w:val="BodyText"/>
        <w:jc w:val="center"/>
      </w:pPr>
      <w:r>
        <w:t xml:space="preserve">ᵃ Department of Pharmacology, Faculty of Pharmacy, Ege University, Erzene Mahallesi, Ankara Caddesi No: 172/98, 35040 Bornova, İzmir, Türkiye</w:t>
      </w:r>
    </w:p>
    <w:p>
      <w:pPr>
        <w:pStyle w:val="BodyText"/>
        <w:jc w:val="center"/>
      </w:pPr>
      <w:r>
        <w:t xml:space="preserve">* Corresponding author: Yasemin Eraç, yasemin.erac@ege.edu.tr</w:t>
      </w:r>
    </w:p>
    <w:bookmarkStart w:id="9" w:name="abstract"/>
    <w:p>
      <w:pPr>
        <w:pStyle w:val="Heading2"/>
        <w:rPr>
          <w:b w:val="1"/>
        </w:rPr>
        <w:jc w:val="left"/>
      </w:pPr>
      <w:r>
        <w:rPr>
          <w:b w:val="1"/>
        </w:rPr>
        <w:t xml:space="preserve">Abstract</w:t>
      </w:r>
    </w:p>
    <w:p>
      <w:pPr>
        <w:pStyle w:val="FirstParagraph"/>
        <w:jc w:val="both"/>
      </w:pPr>
      <w:r>
        <w:t xml:space="preserve">TDP-43 loss is implicated in amyotrophic lateral sclerosis (ALS), but its relationship to store-operated Ca²⁺ entry (SOCE) is unclear. After shRNA-mediated TARDBP depletion in SH-SY5Y cells, TRPC1, STIM1, ORAI1 and ATP2A3 mRNAs increased 1.7- to 3.2-fold, while the Fura-2-measured SOCE amplitude decreased from 1.542 ± 0.282 to 0.245 ± 0.083 Δ(F340/F380) (n = 3). ER Ca²⁺ release amplitudes were 0.268 and 0.180 Δ(F340/F380), respectively. At 48 h, the WST-1 signal was 38.5% lower (n = 4). We reanalysed six public TDP-43-depletion RNA-seq comparisons (38 libraries) for calcium-regulatory expression and splicing, screened eleven comparisons for unannotated junction changes, and assessed alternative polyadenylation and nonsense-mediated decay. CBARP was the most reproducible splicing candidate across species, whereas STIM2, STIMATE and ORAI3 events were supported in the primary RNA-seq model. No confirmed RNA-processing event in the core SOCE machinery explained the functional change. In ALS brain, TRPC1 and SARAF increased and CBARP decreased in six of seven regions, but these tissue associations could not be attributed to TDP-43 loss. TDP-43 knockdown is associated with reduced SOCE and altered calcium-regulatory RNA profiles, without evidence for a single causal RNA event.</w:t>
      </w:r>
    </w:p>
    <w:p>
      <w:pPr>
        <w:pStyle w:val="BodyText"/>
        <w:jc w:val="both"/>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rPr>
          <w:b w:val="1"/>
        </w:rPr>
        <w:jc w:val="left"/>
      </w:pPr>
      <w:r>
        <w:rPr>
          <w:b w:val="1"/>
        </w:rPr>
        <w:t xml:space="preserve">1. Introduction</w:t>
      </w:r>
    </w:p>
    <w:p>
      <w:pPr>
        <w:pStyle w:val="FirstParagraph"/>
        <w:jc w:val="bot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jc w:val="both"/>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jc w:val="both"/>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jc w:val="both"/>
      </w:pPr>
      <w:r>
        <w:t xml:space="preserve">We first measure SOCE and target mRNAs after shRNA-mediated TDP-43 depletion in SH-SY5Y cultures. We then use public RNA-seq datasets to examine calcium-regulatory transcript abundance and RNA processing, applying read-support and robustness checks to the splicing results. Finally, we assess how the candidate transcripts behave in ALS brain and selected neurological comparison cohorts.</w:t>
      </w:r>
    </w:p>
    <w:bookmarkEnd w:id="10"/>
    <w:bookmarkStart w:id="27" w:name="materials-and-methods"/>
    <w:p>
      <w:pPr>
        <w:pStyle w:val="Heading2"/>
        <w:rPr>
          <w:b w:val="1"/>
        </w:rPr>
        <w:jc w:val="left"/>
      </w:pPr>
      <w:r>
        <w:rPr>
          <w:b w:val="1"/>
        </w:rPr>
        <w:t xml:space="preserve">2. Materials and Methods</w:t>
      </w:r>
    </w:p>
    <w:bookmarkStart w:id="11" w:name="public-rna-seq-datasets"/>
    <w:p>
      <w:pPr>
        <w:pStyle w:val="Heading3"/>
        <w:rPr>
          <w:b w:val="1"/>
        </w:rPr>
        <w:jc w:val="left"/>
      </w:pPr>
      <w:r>
        <w:rPr>
          <w:b w:val="1"/>
        </w:rPr>
        <w:t xml:space="preserve">2.1 Public RNA-seq datasets</w:t>
      </w:r>
    </w:p>
    <w:p>
      <w:pPr>
        <w:pStyle w:val="FirstParagraph"/>
        <w:jc w:val="bot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bulk CTRL KD/TDP-43 KD arm, 4 + 4 libraries;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jc w:val="both"/>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jc w:val="both"/>
      </w:pPr>
      <w:r>
        <w:t xml:space="preserve">The public SH-SY5Y subseries used a doxycycline-inducible knockdown assessed after approximately 10 days of induction; it is distinct from the constitutive shRNA cultures used for the laboratory assays.</w:t>
      </w:r>
    </w:p>
    <w:p>
      <w:pPr>
        <w:pStyle w:val="BodyText"/>
        <w:jc w:val="both"/>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rPr>
          <w:b w:val="1"/>
        </w:rPr>
        <w:jc w:val="left"/>
      </w:pPr>
      <w:r>
        <w:rPr>
          <w:b w:val="1"/>
        </w:rPr>
        <w:t xml:space="preserve">2.2 Differential expression</w:t>
      </w:r>
    </w:p>
    <w:p>
      <w:pPr>
        <w:pStyle w:val="FirstParagraph"/>
        <w:jc w:val="both"/>
      </w:pPr>
      <w:r>
        <w:t xml:space="preserve">Gene counts were generated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t>(Liao et al., 2014)</w:t>
      </w:r>
      <w:r>
        <w:fldChar w:fldCharType="end"/>
      </w:r>
      <w:r>
        <w:t xml:space="preserve">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w:t>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t>(Love et al., 2014)</w:t>
      </w:r>
      <w:r>
        <w:fldChar w:fldCharType="end"/>
      </w:r>
      <w:r>
        <w:t xml:space="preserve"> within each dataset,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t>(Benjamini and Hochberg, 1995)</w:t>
      </w:r>
      <w:r>
        <w:fldChar w:fldCharType="end"/>
      </w:r>
      <w: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t>(sva v3.50.0; Leek, 2014)</w:t>
      </w:r>
      <w:r>
        <w:fldChar w:fldCharType="end"/>
      </w:r>
      <w:r>
        <w:t>; the principal findings were unchanged.</w:t>
      </w:r>
    </w:p>
    <w:bookmarkEnd w:id="12"/>
    <w:bookmarkStart w:id="13" w:name="X07d74586bf945fba1e9f14657a4ab2ab13d5c1d"/>
    <w:p>
      <w:pPr>
        <w:pStyle w:val="Heading3"/>
        <w:rPr>
          <w:b w:val="1"/>
        </w:rPr>
        <w:jc w:val="left"/>
      </w:pPr>
      <w:r>
        <w:rPr>
          <w:b w:val="1"/>
        </w:rPr>
        <w:t xml:space="preserve">2.3 Alternative splicing and robustness assessment</w:t>
      </w:r>
    </w:p>
    <w:p>
      <w:pPr>
        <w:pStyle w:val="FirstParagraph"/>
        <w:jc w:val="bot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jc w:val="both"/>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twelve SOCE-machinery genes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jc w:val="both"/>
      </w:pPr>
      <w:r>
        <w:t xml:space="preserve">Detection power was estimated by simulation over the observed coverage distribution for a 3 + 3 design.</w:t>
      </w:r>
    </w:p>
    <w:bookmarkEnd w:id="13"/>
    <w:bookmarkStart w:id="14" w:name="isoform-usage"/>
    <w:p>
      <w:pPr>
        <w:pStyle w:val="Heading3"/>
        <w:rPr>
          <w:b w:val="1"/>
        </w:rPr>
        <w:jc w:val="left"/>
      </w:pPr>
      <w:r>
        <w:rPr>
          <w:b w:val="1"/>
        </w:rPr>
        <w:t xml:space="preserve">2.4 Isoform usage</w:t>
      </w:r>
    </w:p>
    <w:p>
      <w:pPr>
        <w:pStyle w:val="FirstParagraph"/>
        <w:jc w:val="both"/>
      </w:pPr>
      <w: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t>(Patro et al., 2017)</w:t>
      </w:r>
      <w:r>
        <w:fldChar w:fldCharType="end"/>
      </w:r>
      <w: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t>(Vitting-Seerup and Sandelin, 2019)</w:t>
      </w:r>
      <w:r>
        <w:fldChar w:fldCharType="end"/>
      </w:r>
      <w: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t>(Nowicka and Robinson, 2016)</w:t>
      </w:r>
      <w:r>
        <w:fldChar w:fldCharType="end"/>
      </w:r>
      <w: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t>(Van den Berge et al., 2017)</w:t>
      </w:r>
      <w:r>
        <w:fldChar w:fldCharType="end"/>
      </w:r>
      <w:r>
        <w:t xml:space="preserve">, including prediction of open reading frames, premature termination codons, sensitivity to nonsense-mediated decay (NMD) and protein-domain consequences.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t>(Li et al., 2018)</w:t>
      </w:r>
      <w:r>
        <w:fldChar w:fldCharType="end"/>
      </w:r>
      <w: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t>(Trincado et al., 2018)</w:t>
      </w:r>
      <w:r>
        <w:fldChar w:fldCharType="end"/>
      </w:r>
      <w:r>
        <w:t xml:space="preserve"> was run on the three control and three 75 ng/mL libraries as a check of method concordance.</w:t>
      </w:r>
    </w:p>
    <w:bookmarkEnd w:id="14"/>
    <w:bookmarkStart w:id="15" w:name="annotation-free-junction-level-analysis"/>
    <w:p>
      <w:pPr>
        <w:pStyle w:val="Heading3"/>
        <w:rPr>
          <w:b w:val="1"/>
        </w:rPr>
        <w:jc w:val="left"/>
      </w:pPr>
      <w:r>
        <w:rPr>
          <w:b w:val="1"/>
        </w:rPr>
        <w:t xml:space="preserve">2.5 Annotation-free junction-level analysis</w:t>
      </w:r>
    </w:p>
    <w:p>
      <w:pPr>
        <w:pStyle w:val="FirstParagraph"/>
        <w:jc w:val="both"/>
      </w:pPr>
      <w:r>
        <w:t xml:space="preserve">Splice junctions were extracted directly from the alignments in two independent ways, so that no conclusion rests on a single extraction rule.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t xml:space="preserve">(Cotto et al., 2023;</w:t>
      </w:r>
      <w:r>
        <w:t xml:space="preserve"> </w:t>
      </w:r>
      <w:r>
        <w:rPr>
          <w:rStyle w:val="VerbatimChar"/>
        </w:rPr>
        <w:t xml:space="preserve">junctions extract -s XS -a 8 -m 50 -M 1000000</w:t>
      </w:r>
      <w:r>
        <w:t>)</w:t>
      </w:r>
      <w:r>
        <w:fldChar w:fldCharType="end"/>
      </w:r>
      <w: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jc w:val="both"/>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jc w:val="both"/>
      </w:pPr>
      <w:r>
        <w:t xml:space="preserve">The calling threshold was calibrated against a control-versus-control null: in datasets with four control replicates, the controls were split 2 + 2, the analysis repeated unchanged, and every call counted as a false positive. Under a permissive definition (unannotated junction, ΔPSI ≥ 0.05, q &lt; 0.05, control PSI ≤ 0.05, bootstrap lower bound above zero) the null produced almost as many calls as the real comparison in iPSC colonies (0.98 per real call) and twice as many in K562 total RNA (2.01; Supplementary Table S14), so raw call counts are not interpretable. We therefore adopted an effect-based definition: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jc w:val="both"/>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rPr>
          <w:b w:val="1"/>
        </w:rPr>
        <w:jc w:val="left"/>
      </w:pPr>
      <w:r>
        <w:rPr>
          <w:b w:val="1"/>
        </w:rPr>
        <w:t xml:space="preserve">2.6 Aberrant splicing outlier detection</w:t>
      </w:r>
    </w:p>
    <w:p>
      <w:pPr>
        <w:pStyle w:val="FirstParagraph"/>
        <w:jc w:val="bot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FRASER treats aberrant splicing as a rare, sample-specific deviation from a cohort norm; because depleted samples form two-thirds of this cohort, results are reported as per-sample outlier burden.</w:t>
      </w:r>
    </w:p>
    <w:bookmarkEnd w:id="16"/>
    <w:bookmarkStart w:id="17" w:name="alternative-polyadenylation"/>
    <w:p>
      <w:pPr>
        <w:pStyle w:val="Heading3"/>
        <w:rPr>
          <w:b w:val="1"/>
        </w:rPr>
        <w:jc w:val="left"/>
      </w:pPr>
      <w:r>
        <w:rPr>
          <w:b w:val="1"/>
        </w:rPr>
        <w:t xml:space="preserve">2.7 Alternative polyadenylation</w:t>
      </w:r>
    </w:p>
    <w:p>
      <w:pPr>
        <w:pStyle w:val="FirstParagraph"/>
        <w:jc w:val="bot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 Excluding reference skips matters for an intronic index: counted as depth, the skips of spliced reads fill intronic windows, and in SH-SY5Y they would raise the</w:t>
      </w:r>
      <w:r>
        <w:t xml:space="preserve"> </w:t>
      </w:r>
      <w:r>
        <w:rPr>
          <w:i/>
          <w:iCs/>
        </w:rPr>
        <w:t xml:space="preserve">STMN2</w:t>
      </w:r>
      <w:r>
        <w:t xml:space="preserve"> </w:t>
      </w:r>
      <w:r>
        <w:t xml:space="preserve">intron 2 index difference from +0.145 to +0.489.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jc w:val="both"/>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rPr>
          <w:b w:val="1"/>
        </w:rPr>
        <w:jc w:val="left"/>
      </w:pPr>
      <w:r>
        <w:rPr>
          <w:b w:val="1"/>
        </w:rPr>
        <w:t xml:space="preserve">2.8 Nonsense-mediated decay inhibition</w:t>
      </w:r>
    </w:p>
    <w:p>
      <w:pPr>
        <w:pStyle w:val="FirstParagraph"/>
        <w:jc w:val="both"/>
      </w:pPr>
      <w:r>
        <w:t xml:space="preserve">Gene-level counts were obtained from GSE307054 </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t>(Sinha et al., 2025; i3Neurons; TDP-43 knockdown crossed with knockdown of XRN1, UPF1 and SMG6 in four combinations, two replicates each)</w:t>
      </w:r>
      <w:r>
        <w:fldChar w:fldCharType="end"/>
      </w:r>
      <w:r>
        <w:t xml:space="preserve"> and normalised with the authors’ size factors. Sequencing batch is confounded with TDP-43 status in that design, so the interaction was formed as a difference of within-batch differences:</w:t>
      </w:r>
    </w:p>
    <w:p>
      <w:pPr>
        <w:pStyle w:val="BodyText"/>
        <w:jc w:val="both"/>
      </w:pPr>
      <w:r>
        <w:rPr>
          <w:i/>
          <w:iCs/>
        </w:rPr>
        <w:t xml:space="preserve">interaction(c) = [log2(TDP-43 knockdown + NMD inhibition c) − log2(TDP-43 knockdown)] − [log2(control + NMD inhibition c) − log2(control)]</w:t>
      </w:r>
    </w:p>
    <w:p>
      <w:pPr>
        <w:pStyle w:val="BodyText"/>
        <w:jc w:val="both"/>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rPr>
          <w:b w:val="1"/>
        </w:rPr>
        <w:jc w:val="left"/>
      </w:pPr>
      <w:r>
        <w:rPr>
          <w:b w:val="1"/>
        </w:rPr>
        <w:t xml:space="preserve">2.9 Ca²⁺ gene panels and enrichment testing</w:t>
      </w:r>
    </w:p>
    <w:p>
      <w:pPr>
        <w:pStyle w:val="FirstParagraph"/>
        <w:jc w:val="bot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 CBARP was included in this fixed panel for the subsequent cross-dataset event ranking.</w:t>
      </w:r>
    </w:p>
    <w:p>
      <w:pPr>
        <w:pStyle w:val="BodyText"/>
        <w:jc w:val="both"/>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rPr>
          <w:b w:val="1"/>
        </w:rPr>
        <w:jc w:val="left"/>
      </w:pPr>
      <w:r>
        <w:rPr>
          <w:b w:val="1"/>
        </w:rPr>
        <w:t xml:space="preserve">2.10 Transcript-family abundance</w:t>
      </w:r>
    </w:p>
    <w:p>
      <w:pPr>
        <w:pStyle w:val="FirstParagraph"/>
        <w:jc w:val="bot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rPr>
          <w:b w:val="1"/>
        </w:rPr>
        <w:jc w:val="left"/>
      </w:pPr>
      <w:r>
        <w:rPr>
          <w:b w:val="1"/>
        </w:rPr>
        <w:t xml:space="preserve">2.11 Patient tissue and cross-disease comparison</w:t>
      </w:r>
    </w:p>
    <w:p>
      <w:pPr>
        <w:pStyle w:val="FirstParagraph"/>
        <w:jc w:val="both"/>
      </w:pPr>
      <w: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1,641 samples with metadata after filtering)","plainCitation":"(GSE153960; Prudencio et al., 2020; 1,641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1,641 samples with metadata after filtering"}],"schema":"https://github.com/citation-style-language/schema/raw/master/csl-citation.json"} </w:instrText>
      </w:r>
      <w:r>
        <w:fldChar w:fldCharType="separate"/>
      </w:r>
      <w:r>
        <w:t>(GSE153960; Prudencio et al., 2020; 1,641 samples with metadata after filtering)</w:t>
      </w:r>
      <w:r>
        <w:fldChar w:fldCharType="end"/>
      </w:r>
      <w:r>
        <w:t xml:space="preserve">. After a low-expression filter (counts per million [CPM] &gt; 0.40), comparisons used log2 CPM with per-sample median centring,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t>(Cliff, 1993)</w:t>
      </w:r>
      <w:r>
        <w:fldChar w:fldCharType="end"/>
      </w:r>
      <w:r>
        <w:t>. Ten regions were analysed at the expression level: seven brain regions (cerebellum; frontal, occipital and temporal cortex; lateral and medial motor cortex; hippocampus) and three spinal cord levels (cervical, thoracic, lumbar). The junction-level analysis of Section 3.10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w:t>
      </w:r>
    </w:p>
    <w:p>
      <w:pPr>
        <w:pStyle w:val="BodyText"/>
        <w:jc w:val="both"/>
      </w:pPr>
      <w:r>
        <w:t xml:space="preserve">Independent cohorts were analysed identically: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t>(GSE125583, fusiform gyrus, 219 cases/70 controls; Srinivasan et al., 2020)</w:t>
      </w:r>
      <w:r>
        <w:fldChar w:fldCharType="end"/>
      </w:r>
      <w: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t>(GSE68719, prefrontal cortex, Brodmann area 9 [BA9], 29/44; Dumitriu et al., 2016)</w:t>
      </w:r>
      <w:r>
        <w:fldChar w:fldCharType="end"/>
      </w:r>
      <w: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t>(MS; GSE138614, white matter, 10 MS/5 control donors, 98 samples; Elkjaer et al., 2019; and GSE123496, five brain regions, 5/5 donors; Voskuhl et al., 2019)</w:t>
      </w:r>
      <w:r>
        <w:fldChar w:fldCharType="end"/>
      </w:r>
      <w:r>
        <w:t xml:space="preserve">. GSE138614 is white matter, whereas the ALS, Alzheimer’s and Parkinson’s comparisons are predominantly grey matter; the tissue compartment therefore differs and is not controlled for. For multiple sclerosis, TRPC1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For the latter, ordinary least squares was fitted across all samples with an intercept; Mann–Whitney U and Cliff’s δ compared residuals at sample level and after donor averaging.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jc w:val="both"/>
      </w:pPr>
      <w:r>
        <w:t xml:space="preserve">Cell-composition markers (GFAP, AIF1, SNAP25, RBFOX3, MBP, PLP1) were carried through all comparisons.</w:t>
      </w:r>
    </w:p>
    <w:p>
      <w:pPr>
        <w:pStyle w:val="BodyText"/>
        <w:jc w:val="both"/>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t>(Wilks et al., 2021)</w:t>
      </w:r>
      <w:r>
        <w:fldChar w:fldCharType="end"/>
      </w:r>
      <w: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rPr>
          <w:b w:val="1"/>
        </w:rPr>
        <w:jc w:val="left"/>
      </w:pPr>
      <w:r>
        <w:rPr>
          <w:b w:val="1"/>
        </w:rPr>
        <w:t xml:space="preserve">2.12 Cell culture and TDP-43 knockdown</w:t>
      </w:r>
    </w:p>
    <w:p>
      <w:pPr>
        <w:pStyle w:val="FirstParagraph"/>
        <w:jc w:val="bot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rPr>
          <w:b w:val="1"/>
        </w:rPr>
        <w:jc w:val="left"/>
      </w:pPr>
      <w:r>
        <w:rPr>
          <w:b w:val="1"/>
        </w:rPr>
        <w:t xml:space="preserve">2.13 RT-qPCR</w:t>
      </w:r>
    </w:p>
    <w:p>
      <w:pPr>
        <w:pStyle w:val="FirstParagraph"/>
        <w:jc w:val="both"/>
      </w:pPr>
      <w: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t>(Livak and Schmittgen, 2001)</w:t>
      </w:r>
      <w:r>
        <w:fldChar w:fldCharType="end"/>
      </w:r>
      <w:r>
        <w:t>, with non-transduced cells as the calibrator for TARDBP and the non-targeting shRNA control for the target genes (n = 4; TARDBP knockdown and the target genes were measured on separate RNA sets, 14 April – 21 May 2026 and 3 June – 10 July 2026). Primer sequences, product sizes, annealing temperatures and the thermal cycling profile are given in Supplementary Table S1.</w:t>
      </w:r>
    </w:p>
    <w:p>
      <w:pPr>
        <w:pStyle w:val="BodyText"/>
        <w:jc w:val="both"/>
      </w:pPr>
      <w:r>
        <w:t xml:space="preserve">GAPDH was the sole reference gene. In the four-target RNA set, its mean Ct was 19.49 in non-targeting shRNA controls and 19.50 in shTDP-43 cells (n = 4 each).</w:t>
      </w:r>
    </w:p>
    <w:bookmarkEnd w:id="23"/>
    <w:bookmarkStart w:id="24" w:name="cytosolic-ca²-measurement"/>
    <w:p>
      <w:pPr>
        <w:pStyle w:val="Heading3"/>
        <w:rPr>
          <w:b w:val="1"/>
        </w:rPr>
        <w:jc w:val="left"/>
      </w:pPr>
      <w:r>
        <w:rPr>
          <w:b w:val="1"/>
        </w:rPr>
        <w:t xml:space="preserve">2.14 Cytosolic Ca²⁺ measurement</w:t>
      </w:r>
    </w:p>
    <w:p>
      <w:pPr>
        <w:pStyle w:val="FirstParagraph"/>
        <w:jc w:val="both"/>
      </w:pPr>
      <w:r>
        <w:t xml:space="preserve">Non-targeting shRNA control and shTDP-43 cells were measured 72 h after transduction; before completion of the day-5 selection used for RNA collection in parallel cultures. Cells were seeded in 24-well plates at 40,000 cells per well.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t>(excitation 340 and 380 nm, emission 510 nm; Grynkiewicz et al., 1985)</w:t>
      </w:r>
      <w:r>
        <w:fldChar w:fldCharType="end"/>
      </w:r>
      <w: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t>(2009)</w:t>
      </w:r>
      <w:r>
        <w:fldChar w:fldCharType="end"/>
      </w:r>
      <w:r>
        <w:t>. Loaded cells were transferred to Ca²⁺-free HBS containing 1 mM EGTA; SERCA was then inhibited with 10 µM cyclopiazonic acid (Sigma-Aldrich, cat. no. C1530) and the transient rise in F340/F380 was recorded as ER Ca²⁺ release. CaCl₂ was then introduced at a nominal concentration of 1.5 mM and the subsequent rise was recorded as store-operated Ca²⁺ entry (SOCE), following the established depletion–readdition paradigm. Peak amplitudes in both phases were quantified as Δ(F340/F380) relative to the respective preceding baseline (n = 3).</w:t>
      </w:r>
    </w:p>
    <w:p>
      <w:pPr>
        <w:pStyle w:val="BodyText"/>
        <w:jc w:val="both"/>
      </w:pPr>
      <w:r>
        <w:t xml:space="preserve">The Fura-2 ratio records net cytosolic Ca²⁺ accumulation; the measurement does not isolate membrane influx from extrusion or ER re-uptake. Free extracellular Ca²⁺ after readdition was not measured independently.</w:t>
      </w:r>
    </w:p>
    <w:bookmarkEnd w:id="24"/>
    <w:bookmarkStart w:id="25" w:name="wst-1-assay"/>
    <w:p>
      <w:pPr>
        <w:pStyle w:val="Heading3"/>
        <w:rPr>
          <w:b w:val="1"/>
        </w:rPr>
        <w:jc w:val="left"/>
      </w:pPr>
      <w:r>
        <w:rPr>
          <w:b w:val="1"/>
        </w:rPr>
        <w:t xml:space="preserve">2.15 WST-1 assay</w:t>
      </w:r>
    </w:p>
    <w:p>
      <w:pPr>
        <w:pStyle w:val="FirstParagraph"/>
        <w:jc w:val="both"/>
      </w:pPr>
      <w:r>
        <w:t xml:space="preserve">Transduced cells were seeded at 10,000 per well in 100 µL in 96-well plates. Cellular metabolic activity was assessed 48 h after seeding with the WST-1 assay (Premix WST-1, Takara Bio, cat. no. MK400);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For the available 48-h data, n = 4; values are reported as mean ± SEM.</w:t>
      </w:r>
    </w:p>
    <w:bookmarkEnd w:id="25"/>
    <w:bookmarkStart w:id="26" w:name="statistics"/>
    <w:p>
      <w:pPr>
        <w:pStyle w:val="Heading3"/>
        <w:rPr>
          <w:b w:val="1"/>
        </w:rPr>
        <w:jc w:val="left"/>
      </w:pPr>
      <w:r>
        <w:rPr>
          <w:b w:val="1"/>
        </w:rPr>
        <w:t xml:space="preserve">2.16 Statistics</w:t>
      </w:r>
    </w:p>
    <w:p>
      <w:pPr>
        <w:pStyle w:val="FirstParagraph"/>
        <w:jc w:val="both"/>
      </w:pPr>
      <w:r>
        <w:t xml:space="preserve">Bioinformatic thresholds are given above. Laboratory data are mean ± SEM. TARDBP knockdown was assessed by one-way ANOVA on log2-transformed relative expression with Tukey’s multiple comparison test. The four target-gene RT-qPCR comparisons used two-tailed Student’s t-tests with Holm adjustment across the four targets (GraphPad Prism 10). Fura-2 amplitudes (n = 3) and WST-1 well signals (n = 4) were summarised descriptively. Significance was set at adjusted p &lt; 0.05 for the four-target RT-qPCR family.</w:t>
      </w:r>
    </w:p>
    <w:bookmarkEnd w:id="26"/>
    <w:bookmarkEnd w:id="27"/>
    <w:bookmarkStart w:id="38" w:name="results"/>
    <w:p>
      <w:pPr>
        <w:pStyle w:val="Heading2"/>
        <w:rPr>
          <w:b w:val="1"/>
        </w:rPr>
        <w:jc w:val="left"/>
      </w:pPr>
      <w:r>
        <w:rPr>
          <w:b w:val="1"/>
        </w:rPr>
        <w:t xml:space="preserve">3. Results</w:t>
      </w:r>
    </w:p>
    <w:bookmarkStart w:id="28" w:name="Xdce535244417e96196a4234395656835aae8684"/>
    <w:p>
      <w:pPr>
        <w:pStyle w:val="Heading3"/>
        <w:rPr>
          <w:b w:val="1"/>
        </w:rPr>
        <w:jc w:val="left"/>
      </w:pPr>
      <w:r>
        <w:t xml:space="preserve">3.1 TDP-43 knockdown is associated with a smaller Ca²⁺-readdition amplitude despite increased SOCE-related mRNAs</w:t>
      </w:r>
    </w:p>
    <w:p>
      <w:pPr>
        <w:pStyle w:val="FirstParagraph"/>
        <w:jc w:val="both"/>
      </w:pPr>
      <w:r>
        <w:t xml:space="preserve">Lentiviral shRNA reduced TARDBP mRNA by 94.4% relative to the non-targeting shRNA control and 94.8% relative to non-transduced cells (one-way ANOVA with Tukey’s test, p &lt; 0.0001, n = 4).</w:t>
      </w:r>
    </w:p>
    <w:p>
      <w:pPr>
        <w:pStyle w:val="BodyText"/>
        <w:jc w:val="both"/>
      </w:pPr>
      <w:r>
        <w:t xml:space="preserve">Relative to the non-targeting shRNA control, mRNA levels of four SOCE-associated targets increased:</w:t>
      </w:r>
      <w:r>
        <w:t xml:space="preserve"> </w:t>
      </w:r>
      <w:r>
        <w:rPr>
          <w:i/>
          <w:iCs/>
        </w:rPr>
        <w:t xml:space="preserve">TRPC1</w:t>
      </w:r>
      <w:r>
        <w:t xml:space="preserve"> </w:t>
      </w:r>
      <w:r>
        <w:t xml:space="preserve">≈ 1.8-fold (Holm-adjusted p = 0.00091),</w:t>
      </w:r>
      <w:r>
        <w:t xml:space="preserve"> </w:t>
      </w:r>
      <w:r>
        <w:rPr>
          <w:i/>
          <w:iCs/>
        </w:rPr>
        <w:t xml:space="preserve">STIM1</w:t>
      </w:r>
      <w:r>
        <w:t xml:space="preserve"> </w:t>
      </w:r>
      <w:r>
        <w:t xml:space="preserve">≈ 1.9-fold (adjusted p = 0.0011),</w:t>
      </w:r>
      <w:r>
        <w:t xml:space="preserve"> </w:t>
      </w:r>
      <w:r>
        <w:rPr>
          <w:i/>
          <w:iCs/>
        </w:rPr>
        <w:t xml:space="preserve">ORAI1</w:t>
      </w:r>
      <w:r>
        <w:t xml:space="preserve"> </w:t>
      </w:r>
      <w:r>
        <w:t xml:space="preserve">≈ 1.7-fold (adjusted p = 0.0011) and</w:t>
      </w:r>
      <w:r>
        <w:t xml:space="preserve"> </w:t>
      </w:r>
      <w:r>
        <w:rPr>
          <w:i/>
          <w:iCs/>
        </w:rPr>
        <w:t xml:space="preserve">ATP2A3</w:t>
      </w:r>
      <w:r>
        <w:t xml:space="preserve">/SERCA3 ≈ 3.2-fold (adjusted p = 0.00038;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keepNext/>
        <w:pageBreakBefore/>
        <w:spacing w:before="0" w:after="140"/>
        <w:jc w:val="center"/>
      </w:pPr>
      <w:r>
        <w:drawing>
          <wp:inline>
            <wp:extent cx="5532120" cy="2368311"/>
            <wp:docPr id="1" name="Picture 1"/>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68311"/>
                    </a:xfrm>
                    <a:prstGeom prst="rect"/>
                  </pic:spPr>
                </pic:pic>
              </a:graphicData>
            </a:graphic>
          </wp:inline>
        </w:drawing>
      </w:r>
    </w:p>
    <w:p>
      <w:pPr>
        <w:pStyle w:val="Caption"/>
        <w:keepLines/>
        <w:spacing w:line="269" w:lineRule="auto" w:after="200"/>
        <w:jc w:val="both"/>
      </w:pPr>
      <w:r>
        <w:rPr>
          <w:rFonts w:ascii="Times New Roman" w:hAnsi="Times New Roman"/>
          <w:b/>
          <w:sz w:val="19"/>
        </w:rPr>
        <w:t>Figure 1.</w:t>
      </w:r>
      <w:r>
        <w:rPr>
          <w:rFonts w:ascii="Times New Roman" w:hAnsi="Times New Roman"/>
          <w:sz w:val="19"/>
        </w:rPr>
        <w:t xml:space="preserve"> TDP-43 knockdown, calcium-related mRNAs and WST-1 signal in SH-SY5Y cells. (A) TARDBP mRNA in untransduced cells (“No virus”), non-targeting shRNA controls and shTDP-43 cells (n = 4; one-way ANOVA on log2 values with Tukey’s test; **** p &lt; 0.0001 for the indicated pair). (B) Relative mRNA of TRPC1, STIM1, ORAI1 and ATP2A3 (n = 4; two-tailed t-tests with Holm adjustment across the four targets; ** adjusted p &lt; 0.01, *** adjusted p &lt; 0.001). (C) WST-1 metabolic signal at 48 h (n = 4; descriptive summary only). Bars represent means ± SEM; dots are individual measurements.</w:t>
      </w:r>
    </w:p>
    <w:p>
      <w:pPr>
        <w:pStyle w:val="BodyText"/>
        <w:jc w:val="both"/>
      </w:pPr>
      <w:r>
        <w:t xml:space="preserve">The Fura-2 Ca²⁺-readdition amplitude was markedly lower in shTDP-43 cells (Figure 2). The ER Ca²⁺-release means were 0.268 ± 0.042 and 0.180 ± 0.061 Δ(F340/F380) in the control and shTDP-43 groups, respectively. The readdition amplitudes were 1.542 ± 0.282 and 0.245 ± 0.083, respectively (n = 3). At 48 h, the WST-1 signal was 61.5 ± 0.8% of control, a 38.5% decrease (n = 4). These Fura-2 and WST-1 comparisons are descriptive.</w:t>
      </w:r>
    </w:p>
    <w:p>
      <w:pPr>
        <w:pStyle w:val="BodyText"/>
        <w:jc w:val="both"/>
      </w:pPr>
      <w:r>
        <w:t xml:space="preserve">The transcript changes and functional change are therefore in opposite directions. This is the central observation of the study.</w:t>
      </w:r>
    </w:p>
    <w:p>
      <w:pPr>
        <w:keepNext/>
        <w:pageBreakBefore/>
        <w:spacing w:before="0" w:after="140"/>
        <w:jc w:val="center"/>
      </w:pPr>
      <w:r>
        <w:drawing>
          <wp:inline>
            <wp:extent cx="5532120" cy="5016929"/>
            <wp:docPr id="2" name="Picture 2"/>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5016929"/>
                    </a:xfrm>
                    <a:prstGeom prst="rect"/>
                  </pic:spPr>
                </pic:pic>
              </a:graphicData>
            </a:graphic>
          </wp:inline>
        </w:drawing>
      </w:r>
    </w:p>
    <w:p>
      <w:pPr>
        <w:pStyle w:val="Caption"/>
        <w:keepLines/>
        <w:spacing w:line="269" w:lineRule="auto" w:after="200"/>
        <w:jc w:val="both"/>
      </w:pPr>
      <w:r>
        <w:rPr>
          <w:rFonts w:ascii="Times New Roman" w:hAnsi="Times New Roman"/>
          <w:b/>
          <w:sz w:val="19"/>
        </w:rPr>
        <w:t>Figure 2.</w:t>
      </w:r>
      <w:r>
        <w:rPr>
          <w:rFonts w:ascii="Times New Roman" w:hAnsi="Times New Roman"/>
          <w:sz w:val="19"/>
        </w:rPr>
        <w:t xml:space="preserve"> Fura-2 calcium measurements following TDP-43 knockdown in SH-SY5Y cells. (A, B) Original representative traces from non-targeting shRNA control and shTDP-43 cells, shown at their native axis ranges. CPA (10 µM) and CaCl₂ (nominally 1.5 mM) additions are indicated. (C) ER Ca²⁺ release after CPA. (D) Ca²⁺-readdition amplitude. Panels C and D show individual measurements and mean ± SEM (n = 3; descriptive). The traces illustrate individual recordings; group amplitudes were calculated from the original Prism measurements.</w:t>
      </w:r>
    </w:p>
    <w:bookmarkEnd w:id="28"/>
    <w:bookmarkStart w:id="29" w:name="X65edd16614ad8b45159fdba0c7ef67d7861dbd8"/>
    <w:p>
      <w:pPr>
        <w:pStyle w:val="Heading3"/>
        <w:rPr>
          <w:b w:val="1"/>
        </w:rPr>
        <w:jc w:val="left"/>
      </w:pPr>
      <w:r>
        <w:rPr>
          <w:b w:val="1"/>
        </w:rPr>
        <w:t xml:space="preserve">3.2 Transcript-family abundance contextualises the discordance</w:t>
      </w:r>
    </w:p>
    <w:p>
      <w:pPr>
        <w:pStyle w:val="FirstParagraph"/>
        <w:jc w:val="both"/>
      </w:pPr>
      <w:r>
        <w:t xml:space="preserve">The independent public SH-SY5Y RNA-seq comparison provides transcript-level context for this laboratory observation (Figure 3; Table 1).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jc w:val="both"/>
      </w:pPr>
      <w:r>
        <w:t xml:space="preserve">The public inducible RNA-seq model and the constitutive laboratory knockdown differ in duration and selection, so agreement for the four assayed mRNAs does not establish matching protein composition or splicing in the laboratory cells.</w:t>
      </w:r>
    </w:p>
    <w:p>
      <w:pPr>
        <w:pStyle w:val="BodyText"/>
        <w:jc w:val="both"/>
      </w:pPr>
      <w:r>
        <w:t xml:space="preserve">In control cells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families (77% and 98% of the family total),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w:t>
      </w:r>
      <w:r>
        <w:t xml:space="preserve"> </w:t>
      </w:r>
      <w:r>
        <w:rPr>
          <w:i/>
          <w:iCs/>
        </w:rPr>
        <w:t xml:space="preserve">STIM1</w:t>
      </w:r>
      <w:r>
        <w:t xml:space="preserve"> </w:t>
      </w:r>
      <w:r>
        <w:t xml:space="preserve">and</w:t>
      </w:r>
      <w:r>
        <w:t xml:space="preserve"> </w:t>
      </w:r>
      <w:r>
        <w:rPr>
          <w:i/>
          <w:iCs/>
        </w:rPr>
        <w:t xml:space="preserve">TRPC1</w:t>
      </w:r>
      <w:r>
        <w:t xml:space="preserve"> </w:t>
      </w:r>
      <w:r>
        <w:t xml:space="preserve">dominate their families (64% and 98%), and</w:t>
      </w:r>
      <w:r>
        <w:t xml:space="preserve"> </w:t>
      </w:r>
      <w:r>
        <w:rPr>
          <w:i/>
          <w:iCs/>
        </w:rPr>
        <w:t xml:space="preserve">SARAF</w:t>
      </w:r>
      <w:r>
        <w:t xml:space="preserve"> </w:t>
      </w:r>
      <w:r>
        <w:t xml:space="preserve">accounts for 82% of the SOCE-regulator pool. In knockdown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fell modestly (DESeq2 log2FC −0.17 and −0.25; p_adj = 2.2 × 10⁻³ and 8.7 × 10⁻⁹), while</w:t>
      </w:r>
      <w:r>
        <w:t xml:space="preserve"> </w:t>
      </w:r>
      <w:r>
        <w:rPr>
          <w:i/>
          <w:iCs/>
        </w:rPr>
        <w:t xml:space="preserve">ORAI1</w:t>
      </w:r>
      <w:r>
        <w:t xml:space="preserve">,</w:t>
      </w:r>
      <w:r>
        <w:t xml:space="preserve"> </w:t>
      </w:r>
      <w:r>
        <w:rPr>
          <w:i/>
          <w:iCs/>
        </w:rPr>
        <w:t xml:space="preserve">ATP2A3</w:t>
      </w:r>
      <w:r>
        <w:t xml:space="preserve">,</w:t>
      </w:r>
      <w:r>
        <w:t xml:space="preserve"> </w:t>
      </w:r>
      <w:r>
        <w:rPr>
          <w:i/>
          <w:iCs/>
        </w:rPr>
        <w:t xml:space="preserve">STIM1</w:t>
      </w:r>
      <w:r>
        <w:t xml:space="preserve">,</w:t>
      </w:r>
      <w:r>
        <w:t xml:space="preserve"> </w:t>
      </w:r>
      <w:r>
        <w:rPr>
          <w:i/>
          <w:iCs/>
        </w:rPr>
        <w:t xml:space="preserve">TRPC1</w:t>
      </w:r>
      <w:r>
        <w:t xml:space="preserve"> </w:t>
      </w:r>
      <w:r>
        <w:t xml:space="preserve">and</w:t>
      </w:r>
      <w:r>
        <w:t xml:space="preserve"> </w:t>
      </w:r>
      <w:r>
        <w:rPr>
          <w:i/>
          <w:iCs/>
        </w:rPr>
        <w:t xml:space="preserve">SARAF</w:t>
      </w:r>
      <w:r>
        <w:t xml:space="preserve"> </w:t>
      </w:r>
      <w:r>
        <w:t xml:space="preserve">rose and</w:t>
      </w:r>
      <w:r>
        <w:t xml:space="preserve"> </w:t>
      </w:r>
      <w:r>
        <w:rPr>
          <w:i/>
          <w:iCs/>
        </w:rPr>
        <w:t xml:space="preserve">ORAI3</w:t>
      </w:r>
      <w:r>
        <w:t xml:space="preserve"> </w:t>
      </w:r>
      <w:r>
        <w:t xml:space="preserve">rose about fivefold in adjusted TPM (DESeq2 log2FC 2.06; p_adj = 2.3 × 10⁻⁶⁴). At family level the ORAI pool therefore grew (+27%) and changed in composition:</w:t>
      </w:r>
      <w:r>
        <w:t xml:space="preserve"> </w:t>
      </w:r>
      <w:r>
        <w:rPr>
          <w:i/>
          <w:iCs/>
        </w:rPr>
        <w:t xml:space="preserve">ORAI3</w:t>
      </w:r>
      <w:r>
        <w:t xml:space="preserve"> </w:t>
      </w:r>
      <w:r>
        <w:t xml:space="preserve">went from 8% to 30% of ORAI transcripts and</w:t>
      </w:r>
      <w:r>
        <w:t xml:space="preserve"> </w:t>
      </w:r>
      <w:r>
        <w:rPr>
          <w:i/>
          <w:iCs/>
        </w:rPr>
        <w:t xml:space="preserve">ORAI2</w:t>
      </w:r>
      <w:r>
        <w:t xml:space="preserve"> </w:t>
      </w:r>
      <w:r>
        <w:t xml:space="preserve">from 77% to 53%. The STIM (+48%) and SOCE-regulator (+30%) pools also rose, whereas the SERCA and mitochondrial-uptake pools fell (−12% and −25%), the latter mainly through</w:t>
      </w:r>
      <w:r>
        <w:t xml:space="preserve"> </w:t>
      </w:r>
      <w:r>
        <w:rPr>
          <w:i/>
          <w:iCs/>
        </w:rPr>
        <w:t xml:space="preserve">MCU</w:t>
      </w:r>
      <w:r>
        <w:t xml:space="preserve">,</w:t>
      </w:r>
      <w:r>
        <w:t xml:space="preserve"> </w:t>
      </w:r>
      <w:r>
        <w:rPr>
          <w:i/>
          <w:iCs/>
        </w:rPr>
        <w:t xml:space="preserve">MICU2</w:t>
      </w:r>
      <w:r>
        <w:t xml:space="preserve"> </w:t>
      </w:r>
      <w:r>
        <w:t xml:space="preserve">and</w:t>
      </w:r>
      <w:r>
        <w:t xml:space="preserve"> </w:t>
      </w:r>
      <w:r>
        <w:rPr>
          <w:i/>
          <w:iCs/>
        </w:rPr>
        <w:t xml:space="preserve">MCUB</w:t>
      </w:r>
      <w:r>
        <w:t xml:space="preserve">. These are descriptive summaries of transcript abundance and cannot be converted directly into protein-complex stoichiometry.</w:t>
      </w:r>
    </w:p>
    <w:p>
      <w:pPr>
        <w:pStyle w:val="BodyText"/>
        <w:jc w:val="both"/>
      </w:pPr>
      <w:r>
        <w:t xml:space="preserve">For STIMATE, adjusted TPM increased by 9.9% while the DESeq2 count-model estimate was log2FC −0.050 (p_adj = 0.72). Both changes are small; their opposite signs reflect different estimators and do not support a directional STIMATE abundance effect.</w:t>
      </w:r>
    </w:p>
    <w:p>
      <w:pPr>
        <w:pStyle w:val="BodyText"/>
        <w:jc w:val="both"/>
      </w:pPr>
      <w:r>
        <w:t xml:space="preserve">Two of these changes point towards reduced entry. ORAI2 and ORAI3 both form heteromers with ORAI1 and restrain SOCE; deleting either increases it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rose by about half (log2FC 0.55). The mitochondrial panel also changes, but MCU, MCUB and MICU proteins have distinct and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so their summed transcript change does not establish a change in mitochondrial Ca²⁺ uptake. The STIM1:ORAI1 RNA ratio is not a measurement of the protein ratio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and is not used here as a mechanistic readout.</w:t>
      </w:r>
    </w:p>
    <w:p>
      <w:pPr>
        <w:pStyle w:val="BodyText"/>
        <w:jc w:val="both"/>
      </w:pPr>
      <w:r>
        <w:t xml:space="preserve">Together, the changes in ORAI-family composition and SOCE regulators provide candidate molecular explanations for the reduced SOCE phenotype.</w:t>
      </w:r>
    </w:p>
    <w:p>
      <w:pPr>
        <w:keepNext/>
        <w:pageBreakBefore/>
        <w:spacing w:before="0" w:after="140"/>
        <w:jc w:val="center"/>
      </w:pPr>
      <w:r>
        <w:drawing>
          <wp:inline>
            <wp:extent cx="5532120" cy="4519197"/>
            <wp:docPr id="3" name="Picture 3"/>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jc w:val="both"/>
      </w:pPr>
      <w:r>
        <w:rPr>
          <w:rFonts w:ascii="Times New Roman" w:hAnsi="Times New Roman"/>
          <w:b/>
          <w:sz w:val="19"/>
        </w:rPr>
        <w:t>Figure 3.</w:t>
      </w:r>
      <w:r>
        <w:rPr>
          <w:rFonts w:ascii="Times New Roman" w:hAnsi="Times New Roman"/>
          <w:sz w:val="19"/>
        </w:rPr>
        <w:t xml:space="preserve"> Calcium-regulatory transcript profile in the independent public SH-SY5Y RNA-seq comparison. (A)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Figures 1 and 2. TPM values are descriptive transcript-abundance estimates and do not measure protein abundance or channel composition.</w:t>
      </w:r>
    </w:p>
    <w:bookmarkEnd w:id="29"/>
    <w:bookmarkStart w:id="30" w:name="Xc9e627d5dae3c5724b10d52d1a5f65dbe457452"/>
    <w:p>
      <w:pPr>
        <w:pStyle w:val="Heading3"/>
        <w:rPr>
          <w:b w:val="1"/>
        </w:rPr>
        <w:jc w:val="left"/>
      </w:pPr>
      <w:r>
        <w:rPr>
          <w:b w:val="1"/>
        </w:rPr>
        <w:t xml:space="preserve">3.3 TDP-43 depletion alters splicing across Ca²⁺ homeostasis genes, but most individual events are underpowered</w:t>
      </w:r>
    </w:p>
    <w:p>
      <w:pPr>
        <w:pStyle w:val="FirstParagraph"/>
        <w:jc w:val="bot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A local-event method run on the same libraries gave a more conservative picture: SUPPA2 tested 31,474 events in 5,345 genes and returned no event that met the shared FDR and |ΔPSI| ≥ 0.10 thresholds, and among the 9,369 skipped-exon events whose coordinates matched between the two tools ΔPSI agreed only weakly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jc w:val="both"/>
      </w:pPr>
      <w:r>
        <w:t xml:space="preserve">However, a substantial proportion of nominally significant events rested on very low read support. Applying a coverage pre-filter before FDR correction removed 18–78% of tested events depending on dataset (Table 2) and reduced the number of significant calls by 33–76%, with the largest losses in the two single-end datasets (iPSC-derived motor neurons 70%; mouse striatum 76%).</w:t>
      </w:r>
    </w:p>
    <w:p>
      <w:pPr>
        <w:pStyle w:val="BodyText"/>
        <w:jc w:val="both"/>
      </w:pPr>
      <w:r>
        <w:t xml:space="preserve">Simulation over the observed coverage distribution showed why (Supplementary Figure S1). For a 3 + 3 design at 10 informative reads per sample, a coverage typical of the lower quartile of events,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jc w:val="both"/>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rPr>
          <w:b w:val="1"/>
        </w:rPr>
        <w:jc w:val="left"/>
      </w:pPr>
      <w:r>
        <w:rPr>
          <w:b w:val="1"/>
        </w:rPr>
        <w:t xml:space="preserve">3.4 Robust splicing changes concentrate in SOCE regulators</w:t>
      </w:r>
    </w:p>
    <w:p>
      <w:pPr>
        <w:pStyle w:val="FirstParagraph"/>
        <w:jc w:val="both"/>
      </w:pPr>
      <w:r>
        <w:t xml:space="preserve">Applying the robustness criteria to the twelve SOCE-machinery genes examined event by event (Methods 2.3) identified a small set of events supported by adequate coverage and bootstrap intervals excluding zero (Table 3, Supplementary Figure S3).</w:t>
      </w:r>
    </w:p>
    <w:p>
      <w:pPr>
        <w:pStyle w:val="BodyText"/>
        <w:jc w:val="both"/>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jc w:val="both"/>
      </w:pPr>
      <w:r>
        <w:rPr>
          <w:i/>
          <w:iCs/>
        </w:rPr>
        <w:t xml:space="preserve">CBARP</w:t>
      </w:r>
      <w: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was the most reproducible candidate: 32 events met both the threshold and the coverage criteria in five of the six datasets (iPSC colonies, mouse striatum, SH-SY5Y, C2C12 and NSC34) at the orthologous human chr19 and mouse chr10 loci, with |ΔPSI| from 0.11 to 0.74 (median 0.37) and 61 to 4,559 junction reads per event (median 246; 26 of the 32 above 100 reads; Supplementary Table S3). The locus is therefore affected in every model except the iPSC-derived motor neurons, but the direction is not consistent across models: all three qualifying SH-SY5Y events show reduced inclusion of the rMATS-defined form, whereas the events in mouse striatum and C2C12, all but one of those in NSC34 and most of those in iPSC colonies are positive; the junction-level analysis of Section 3.5 quantifies a different arm of the same locus and is positive in SH-SY5Y. What reproduces is the involvement of the locus, not one directional switch.</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jc w:val="both"/>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namely coverage-filtered rMATS, bootstrap interval estimation and LeafCutter, therefore converge on the same candidates.</w:t>
      </w:r>
    </w:p>
    <w:bookmarkEnd w:id="31"/>
    <w:bookmarkStart w:id="32" w:name="X82f7279699e5de22b979458987a108be8a28cb2"/>
    <w:p>
      <w:pPr>
        <w:pStyle w:val="Heading3"/>
        <w:rPr>
          <w:b w:val="1"/>
        </w:rPr>
        <w:jc w:val="left"/>
      </w:pPr>
      <w:r>
        <w:rPr>
          <w:b w:val="1"/>
        </w:rPr>
        <w:t xml:space="preserve">3.5 Annotation-free analysis recovers cryptic exons genome-wide but finds no high-confidence event in the SOCE machinery of the primary model</w:t>
      </w:r>
    </w:p>
    <w:p>
      <w:pPr>
        <w:pStyle w:val="FirstParagraph"/>
        <w:jc w:val="bot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jc w:val="both"/>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4; Supplementary Table S12).</w:t>
      </w:r>
    </w:p>
    <w:p>
      <w:pPr>
        <w:pStyle w:val="BodyText"/>
        <w:jc w:val="both"/>
      </w:pPr>
      <w:r>
        <w:t xml:space="preserve">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jc w:val="both"/>
      </w:pPr>
      <w:r>
        <w:t xml:space="preserve">The null test also sets the limits of interpretation. It could be run in the three datasets with four control replicates: for every real call the split-control null produced 0.64 calls in iPSC colonies, 2.17 in K562 total RNA and 0.83 in mouse striatum (high-confidence definition; Supplementary Table S14). These ratios are not calibrated false-discovery rates; they are the ratio of two call counts from analyses with different sample sizes and different numbers of tests, but they show that call counts are not interpretable on their own. In the remaining eight comparisons (the two SH-SY5Y doses, the three iPSC-derived motor neuron comparisons, K562 poly(A)+ mRNA, C2C12 and NSC34),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jc w:val="both"/>
      </w:pPr>
      <w:r>
        <w:t xml:space="preserve">Applied to the Ca²⁺ panels, the analysis returned an almost complete negative (Supplementary Table S7).</w:t>
      </w:r>
      <w:r>
        <w:t xml:space="preserve"> </w:t>
      </w:r>
      <w:r>
        <w:rPr>
          <w:b/>
          <w:bCs/>
        </w:rPr>
        <w:t xml:space="preserve">No gene of the core SOCE/TRP panel (Tier 1, n = 51) carried a high-confidence unannotated splicing change in any comparison except iPSC colonies.</w:t>
      </w:r>
      <w:r>
        <w:t xml:space="preserve"> </w:t>
      </w:r>
      <w:r>
        <w:t xml:space="preserve">The negative is informative where the analysis demonstrably worked: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This was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Under the permissive definition, SH-SY5Y additionally showed events in</w:t>
      </w:r>
      <w:r>
        <w:t xml:space="preserve"> </w:t>
      </w:r>
      <w:r>
        <w:rPr>
          <w:i/>
          <w:iCs/>
        </w:rPr>
        <w:t xml:space="preserve">PLCD4</w:t>
      </w:r>
      <w:r>
        <w:t xml:space="preserve"> </w:t>
      </w:r>
      <w:r>
        <w:t xml:space="preserve">and in six genes of the expanded Ca²⁺ panel (</w:t>
      </w:r>
      <w:r>
        <w:rPr>
          <w:i/>
          <w:iCs/>
        </w:rPr>
        <w:t xml:space="preserve">ADCY1</w:t>
      </w:r>
      <w:r>
        <w:t xml:space="preserve">,</w:t>
      </w:r>
      <w:r>
        <w:t xml:space="preserve"> </w:t>
      </w:r>
      <w:r>
        <w:rPr>
          <w:i/>
          <w:iCs/>
        </w:rPr>
        <w:t xml:space="preserve">SYT7</w:t>
      </w:r>
      <w:r>
        <w:t xml:space="preserve">,</w:t>
      </w:r>
      <w:r>
        <w:t xml:space="preserve"> </w:t>
      </w:r>
      <w:r>
        <w:rPr>
          <w:i/>
          <w:iCs/>
        </w:rPr>
        <w:t xml:space="preserve">PDE3B</w:t>
      </w:r>
      <w:r>
        <w:t xml:space="preserve">,</w:t>
      </w:r>
      <w:r>
        <w:t xml:space="preserve"> </w:t>
      </w:r>
      <w:r>
        <w:rPr>
          <w:i/>
          <w:iCs/>
        </w:rPr>
        <w:t xml:space="preserve">AKT3</w:t>
      </w:r>
      <w:r>
        <w:t xml:space="preserve">,</w:t>
      </w:r>
      <w:r>
        <w:t xml:space="preserve"> </w:t>
      </w:r>
      <w:r>
        <w:rPr>
          <w:i/>
          <w:iCs/>
        </w:rPr>
        <w:t xml:space="preserve">PIK3CB</w:t>
      </w:r>
      <w:r>
        <w:t xml:space="preserve">,</w:t>
      </w:r>
      <w:r>
        <w:t xml:space="preserve"> </w:t>
      </w:r>
      <w:r>
        <w:rPr>
          <w:i/>
          <w:iCs/>
        </w:rPr>
        <w:t xml:space="preserve">PPP2R5C</w:t>
      </w:r>
      <w:r>
        <w:t xml:space="preserve">), and novel combinations of annotated splice sites appeared in</w:t>
      </w:r>
      <w:r>
        <w:t xml:space="preserve"> </w:t>
      </w:r>
      <w:r>
        <w:rPr>
          <w:i/>
          <w:iCs/>
        </w:rPr>
        <w:t xml:space="preserve">ATP2A3</w:t>
      </w:r>
      <w:r>
        <w:t xml:space="preserve"> </w:t>
      </w:r>
      <w:r>
        <w:t xml:space="preserve">(both doses, ΔPSI +0.16 and +0.20) and</w:t>
      </w:r>
      <w:r>
        <w:t xml:space="preserve"> </w:t>
      </w:r>
      <w:r>
        <w:rPr>
          <w:i/>
          <w:iCs/>
        </w:rPr>
        <w:t xml:space="preserve">MCUB</w:t>
      </w:r>
      <w:r>
        <w:t xml:space="preserve"> </w:t>
      </w:r>
      <w:r>
        <w:t xml:space="preserve">(iPSC colonies, +0.27) (Supplementary Figure S4B).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jc w:val="both"/>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regtools set), and one arm of the</w:t>
      </w:r>
      <w:r>
        <w:t xml:space="preserve"> </w:t>
      </w:r>
      <w:r>
        <w:rPr>
          <w:i/>
          <w:iCs/>
        </w:rPr>
        <w:t xml:space="preserve">CBARP</w:t>
      </w:r>
      <w:r>
        <w:t xml:space="preserve"> </w:t>
      </w:r>
      <w:r>
        <w:t xml:space="preserve">event uses a splice site absent from the annotation.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we report it as supported but not established.</w:t>
      </w:r>
    </w:p>
    <w:p>
      <w:pPr>
        <w:pStyle w:val="BodyText"/>
        <w:jc w:val="both"/>
      </w:pPr>
      <w:r>
        <w:t xml:space="preserve">One specific mechanism could be tested directly. Inclusion of a 24-nucleotide exon in the STIM–ORAI activating region (SOAR) converts STIM2 into STIM2.1 (STIM2β),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so increased inclusion upon TDP-43 loss would be a simple route to reduced entry. Measured as an rMATS event, inclusion of the exon was higher in knockdown in five of six datasets, but the fixed-effect meta-analysis estimate was negligible (pooled ΔPSI +0.0013, 95% CI −0.022 to +0.024; p = 0.914; Supplementary Table S15). The three mouse datasets carry 86% of the weight, but the human datasets alone give the same answer (+0.031, 95% CI −0.030 to +0.091; p = 0.32), and the estimates are not heterogeneous (Cochran’s Q = 4.84, 5 df, p = 0.44; I² = 0%). At junction level, inclusion of the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jc w:val="both"/>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2"/>
    <w:bookmarkStart w:id="33" w:name="X95f51b20e2575a9f68bf5a1f46ea9d9988a1c39"/>
    <w:p>
      <w:pPr>
        <w:pStyle w:val="Heading3"/>
        <w:rPr>
          <w:b w:val="1"/>
        </w:rPr>
        <w:jc w:val="left"/>
      </w:pPr>
      <w:r>
        <w:rPr>
          <w:b w:val="1"/>
        </w:rPr>
        <w:t xml:space="preserve">3.6 Exploratory NMD interactions prioritise CBARP but do not confirm an NMD target</w:t>
      </w:r>
    </w:p>
    <w:p>
      <w:pPr>
        <w:pStyle w:val="FirstParagraph"/>
        <w:jc w:val="bot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(Supplementary Figure S5): a transcript pool produced upon TDP-43 loss and degraded by NMD would be expected to rise preferentially when both perturbations are present (Methods 2.8).</w:t>
      </w:r>
    </w:p>
    <w:p>
      <w:pPr>
        <w:pStyle w:val="BodyText"/>
        <w:jc w:val="both"/>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Several positive-control and calcium-gene interactions were positive, but no gene passed genome-wide FDR correction in this conservative analysis (smallest q = 0.053). The result is therefore supportive at the level of a ranked exploratory signal, not a confirmatory NMD test.</w:t>
      </w:r>
    </w:p>
    <w:p>
      <w:pPr>
        <w:pStyle w:val="BodyText"/>
        <w:jc w:val="both"/>
      </w:pPr>
      <w:r>
        <w:rPr>
          <w:i/>
          <w:iCs/>
        </w:rPr>
        <w:t xml:space="preserve">CBARP</w:t>
      </w:r>
      <w:r>
        <w:t xml:space="preserve"> </w:t>
      </w:r>
      <w:r>
        <w:t xml:space="preserve">had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had positive interactions, without genome-wide significance.</w:t>
      </w:r>
    </w:p>
    <w:p>
      <w:pPr>
        <w:pStyle w:val="BodyText"/>
        <w:jc w:val="both"/>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SOCE machinery.</w:t>
      </w:r>
    </w:p>
    <w:bookmarkEnd w:id="33"/>
    <w:bookmarkStart w:id="34" w:name="Xd92f2e170b5d70e8565fd0fd77df5724ed2003e"/>
    <w:p>
      <w:pPr>
        <w:pStyle w:val="Heading3"/>
        <w:rPr>
          <w:b w:val="1"/>
        </w:rPr>
        <w:jc w:val="left"/>
      </w:pPr>
      <w:r>
        <w:rPr>
          <w:b w:val="1"/>
        </w:rPr>
        <w:t xml:space="preserve">3.7 A coverage-based APA screen yields candidate gradients but no confirmed APA event in the SOCE machinery</w:t>
      </w:r>
    </w:p>
    <w:p>
      <w:pPr>
        <w:pStyle w:val="FirstParagraph"/>
        <w:jc w:val="bot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w:t>
      </w:r>
      <w:r>
        <w:t xml:space="preserve"> </w:t>
      </w:r>
      <w:r>
        <w:rPr>
          <w:i/>
          <w:iCs/>
        </w:rPr>
        <w:t xml:space="preserve">STMN2</w:t>
      </w:r>
      <w:r>
        <w:t xml:space="preserve"> </w:t>
      </w:r>
      <w:r>
        <w:t xml:space="preserve">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jc w:val="both"/>
      </w:pPr>
      <w:r>
        <w:t xml:space="preserve">In the primary SH-SY5Y model the positive control shifted only moderately: using all six libraries, the</w:t>
      </w:r>
      <w:r>
        <w:t xml:space="preserve"> </w:t>
      </w:r>
      <w:r>
        <w:rPr>
          <w:i/>
          <w:iCs/>
        </w:rPr>
        <w:t xml:space="preserve">STMN2</w:t>
      </w:r>
      <w:r>
        <w:t xml:space="preserve"> </w:t>
      </w:r>
      <w:r>
        <w:t xml:space="preserve">intronic index gave a group difference of +0.145 (bootstrap 95% CI +0.085 to +0.205).</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(Supplementary Figure S6B).</w:t>
      </w:r>
    </w:p>
    <w:p>
      <w:pPr>
        <w:pStyle w:val="BodyText"/>
        <w:jc w:val="both"/>
      </w:pPr>
      <w:r>
        <w:t xml:space="preserve">Among the depth-qualified units of the SOCE machinery in the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w:t>
      </w:r>
      <w:r>
        <w:t xml:space="preserve"> </w:t>
      </w:r>
      <w:r>
        <w:rPr>
          <w:i/>
          <w:iCs/>
        </w:rPr>
        <w:t xml:space="preserve">STIM2</w:t>
      </w:r>
      <w:r>
        <w:t xml:space="preserve"> </w:t>
      </w:r>
      <w:r>
        <w:t xml:space="preserve">unit is not an independent observation: its 5′ window contains the alternatively spliced</w:t>
      </w:r>
      <w:r>
        <w:t xml:space="preserve"> </w:t>
      </w:r>
      <w:r>
        <w:rPr>
          <w:i/>
          <w:iCs/>
        </w:rPr>
        <w:t xml:space="preserve">STIM2</w:t>
      </w:r>
      <w:r>
        <w:t xml:space="preserve"> </w:t>
      </w:r>
      <w:r>
        <w:t xml:space="preserve">exon of Table 3 (chr4:27,021,494–27,021,612), whose inclusion falls in knockdown, and exon reads dominate that window (control index 0.96), so the decrease reports that splicing change. The</w:t>
      </w:r>
      <w:r>
        <w:t xml:space="preserve"> </w:t>
      </w:r>
      <w:r>
        <w:rPr>
          <w:i/>
          <w:iCs/>
        </w:rPr>
        <w:t xml:space="preserve">STIM1</w:t>
      </w:r>
      <w:r>
        <w:t xml:space="preserve"> </w:t>
      </w:r>
      <w:r>
        <w:t xml:space="preserve">unit is the intron immediately upstream of the alternatively included</w:t>
      </w:r>
      <w:r>
        <w:t xml:space="preserve"> </w:t>
      </w:r>
      <w:r>
        <w:rPr>
          <w:i/>
          <w:iCs/>
        </w:rPr>
        <w:t xml:space="preserve">STIM1</w:t>
      </w:r>
      <w:r>
        <w:t xml:space="preserve"> </w:t>
      </w:r>
      <w:r>
        <w:t xml:space="preserve">exon of Table 3 (its 3′ window ends 50 bp before that exon) and may be influenced by it as well. Both are candidate coverage gradients rather than localised poly(A) sites. Sparse intronic windows produced unstable point estimates and were excluded by the pre-specified depth filter.</w:t>
      </w:r>
    </w:p>
    <w:p>
      <w:pPr>
        <w:pStyle w:val="BodyText"/>
        <w:jc w:val="both"/>
      </w:pPr>
      <w:r>
        <w:t xml:space="preserve">The analysis therefore identifies at most one moderate candidate gradient in the SOCE machinery, in</w:t>
      </w:r>
      <w:r>
        <w:t xml:space="preserve"> </w:t>
      </w:r>
      <w:r>
        <w:rPr>
          <w:i/>
          <w:iCs/>
        </w:rPr>
        <w:t xml:space="preserve">STIM1</w:t>
      </w:r>
      <w:r>
        <w:t xml:space="preserve">, and does not establish a direct APA event in any of its genes.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and the two units of those genes whose intervals exclude zero are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Outside the SOCE machinery three units likewise exclude zero: the</w:t>
      </w:r>
      <w:r>
        <w:t xml:space="preserve"> </w:t>
      </w:r>
      <w:r>
        <w:rPr>
          <w:i/>
          <w:iCs/>
        </w:rPr>
        <w:t xml:space="preserve">ITPR3</w:t>
      </w:r>
      <w:r>
        <w:t xml:space="preserve"> </w:t>
      </w:r>
      <w:r>
        <w:t xml:space="preserve">terminal exon (−0.152), the</w:t>
      </w:r>
      <w:r>
        <w:t xml:space="preserve"> </w:t>
      </w:r>
      <w:r>
        <w:rPr>
          <w:i/>
          <w:iCs/>
        </w:rPr>
        <w:t xml:space="preserve">MICU3</w:t>
      </w:r>
      <w:r>
        <w:t xml:space="preserve"> </w:t>
      </w:r>
      <w:r>
        <w:t xml:space="preserve">terminal exon (+0.097) and the</w:t>
      </w:r>
      <w:r>
        <w:t xml:space="preserve"> </w:t>
      </w:r>
      <w:r>
        <w:rPr>
          <w:i/>
          <w:iCs/>
        </w:rPr>
        <w:t xml:space="preserve">ITPR1</w:t>
      </w:r>
      <w:r>
        <w:t xml:space="preserve"> </w:t>
      </w:r>
      <w:r>
        <w:t xml:space="preserve">terminal exon (−0.055), so the ER-release and mitochondrial-uptake arms show the same kind of candidate gradient as</w:t>
      </w:r>
      <w:r>
        <w:t xml:space="preserve"> </w:t>
      </w:r>
      <w:r>
        <w:rPr>
          <w:i/>
          <w:iCs/>
        </w:rPr>
        <w:t xml:space="preserve">STIM1</w:t>
      </w:r>
      <w:r>
        <w:t xml:space="preserve"> </w:t>
      </w:r>
      <w:r>
        <w:t xml:space="preserve">rather than being spared. Because the positive control responded only moderately in this model, absence of a signal should not be interpreted as evidence that these genes are definitively spared.</w:t>
      </w:r>
    </w:p>
    <w:p>
      <w:pPr>
        <w:pStyle w:val="BodyText"/>
        <w:jc w:val="both"/>
      </w:pPr>
      <w:r>
        <w:t xml:space="preserve">We therefore repeated the analysis in the iPSC-derived motor neurons, where 59 units in 29 genes passed the same depth filter. Here the assay’s positive control behaved as intended: the index of</w:t>
      </w:r>
      <w:r>
        <w:t xml:space="preserve"> </w:t>
      </w:r>
      <w:r>
        <w:rPr>
          <w:i/>
          <w:iCs/>
        </w:rPr>
        <w:t xml:space="preserve">STMN2</w:t>
      </w:r>
      <w:r>
        <w:t xml:space="preserve"> </w:t>
      </w:r>
      <w:r>
        <w:t xml:space="preserve">intron 2, which contains cryptic exon 2a, rose from 0.570 in controls to 0.819 in knockdown (Δ = +0.249, interval +0.208 to +0.290). Against that working positive control, the SOCE-machinery genes again showed only small shifts: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The SH-SY5Y</w:t>
      </w:r>
      <w:r>
        <w:t xml:space="preserve"> </w:t>
      </w:r>
      <w:r>
        <w:rPr>
          <w:i/>
          <w:iCs/>
        </w:rPr>
        <w:t xml:space="preserve">STIM1</w:t>
      </w:r>
      <w:r>
        <w:t xml:space="preserve"> </w:t>
      </w:r>
      <w:r>
        <w:t xml:space="preserve">intron 17 unit did not reach the depth filter in this shallower dataset (</w:t>
      </w:r>
      <w:r>
        <w:rPr>
          <w:i/>
          <w:iCs/>
        </w:rPr>
        <w:t xml:space="preserve">STIM2</w:t>
      </w:r>
      <w:r>
        <w:t xml:space="preserve"> </w:t>
      </w:r>
      <w:r>
        <w:t xml:space="preserve">intron 13 gave −0.024, interval spanning zero). For this comparison, n = 2, so the enumerated bootstrap has sixteen draws and its intervals are coarse; the point estimates, not the intervals, carry the information.</w:t>
      </w:r>
    </w:p>
    <w:p>
      <w:pPr>
        <w:pStyle w:val="BodyText"/>
        <w:jc w:val="both"/>
      </w:pPr>
      <w:r>
        <w:t xml:space="preserve">The two mouse lines gave 74 qualifying units in C2C12 and 131 in NSC34. Neither has a positive control for this assay: the</w:t>
      </w:r>
      <w:r>
        <w:t xml:space="preserve"> </w:t>
      </w:r>
      <w:r>
        <w:rPr>
          <w:i/>
          <w:iCs/>
        </w:rPr>
        <w:t xml:space="preserve">STMN2</w:t>
      </w:r>
      <w:r>
        <w:t xml:space="preserve"> </w:t>
      </w:r>
      <w:r>
        <w:t xml:space="preserve">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t>(Melamed et al., 2019)</w:t>
      </w:r>
      <w:r>
        <w:fldChar w:fldCharType="end"/>
      </w:r>
      <w:r>
        <w:t>,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human and mouse units are matched by number rather than by sequence alignment, and a coverage gradient is not a poly(A) site.</w:t>
      </w:r>
    </w:p>
    <w:p>
      <w:pPr>
        <w:pStyle w:val="BodyText"/>
        <w:jc w:val="both"/>
      </w:pPr>
      <w:r>
        <w:t xml:space="preserve">Taken together, these analyses support altered calcium-related RNA profiles but do not establish whether any SOCE-machinery gene is a direct target of cryptic splicing, APA or NMD-coupled degradation.</w:t>
      </w:r>
    </w:p>
    <w:bookmarkEnd w:id="34"/>
    <w:bookmarkStart w:id="35" w:name="X296809a5d7cffea79e21b8aac279c8835f73ff1"/>
    <w:p>
      <w:pPr>
        <w:pStyle w:val="Heading3"/>
        <w:rPr>
          <w:b w:val="1"/>
        </w:rPr>
        <w:jc w:val="left"/>
      </w:pPr>
      <w:r>
        <w:rPr>
          <w:b w:val="1"/>
        </w:rPr>
        <w:t xml:space="preserve">3.8 Enrichment of splicing changes in Ca²⁺ genes is model-dependent</w:t>
      </w:r>
    </w:p>
    <w:p>
      <w:pPr>
        <w:pStyle w:val="FirstParagraph"/>
        <w:jc w:val="both"/>
      </w:pPr>
      <w:r>
        <w:t xml:space="preserve">Testing whether Ca²⁺ genes are enriched for splicing changes required care, because power to detect an event scales with gene length, exon number and expression, and Ca²⁺ channel genes are extreme on all three.</w:t>
      </w:r>
    </w:p>
    <w:p>
      <w:pPr>
        <w:pStyle w:val="BodyText"/>
        <w:jc w:val="both"/>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The apparent enrichment in this model is therefore largely attributable to the length and expression properties of Ca²⁺ genes.</w:t>
      </w:r>
    </w:p>
    <w:p>
      <w:pPr>
        <w:pStyle w:val="BodyText"/>
        <w:jc w:val="both"/>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jc w:val="both"/>
      </w:pPr>
      <w:r>
        <w:t xml:space="preserve">We therefore regard enrichment of splicing changes in Ca²⁺ homeostasis genes as a tentative, motor-neuron-associated observation rather than a general property of TDP-43 depletion.</w:t>
      </w:r>
    </w:p>
    <w:bookmarkEnd w:id="35"/>
    <w:bookmarkStart w:id="36" w:name="X1ad39fe12362d18846df18291a4ef3a06af7863"/>
    <w:p>
      <w:pPr>
        <w:pStyle w:val="Heading3"/>
        <w:rPr>
          <w:b w:val="1"/>
        </w:rPr>
        <w:jc w:val="left"/>
      </w:pPr>
      <w:r>
        <w:rPr>
          <w:b w:val="1"/>
        </w:rPr>
        <w:t xml:space="preserve">3.9 TRPC1, SARAF and CBARP differ across ALS and neurological comparison cohorts</w:t>
      </w:r>
    </w:p>
    <w:p>
      <w:pPr>
        <w:pStyle w:val="FirstParagraph"/>
        <w:jc w:val="both"/>
      </w:pPr>
      <w:r>
        <w:t xml:space="preserve">We next asked whether these transcript-level changes are present in patient tissue (Figure 4; Table 5).</w:t>
      </w:r>
    </w:p>
    <w:p>
      <w:pPr>
        <w:pStyle w:val="BodyText"/>
        <w:jc w:val="both"/>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jc w:val="both"/>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jc w:val="both"/>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jc w:val="both"/>
      </w:pPr>
      <w:r>
        <w:t xml:space="preserve">Three independent cohorts extended this (Supplementary Figure S7).</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in the second multiple sclerosis cohort the direction was the same but the study was underpowered (five regions pooled, δ = −0.226; q = 0.49). Because TRPC1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we asked whether the decrease simply reflected demyelination and loss of oligodendrocyte-lineage cells. In normal-appearing white matter, where the myelin markers MBP (δ = +0.051), PLP1 (−0.074), MOG (−0.257) and MAG (−0.299) were unchanged,</w:t>
      </w:r>
      <w:r>
        <w:t xml:space="preserve"> </w:t>
      </w:r>
      <w:r>
        <w:rPr>
          <w:i/>
          <w:iCs/>
        </w:rPr>
        <w:t xml:space="preserve">TRPC1</w:t>
      </w:r>
      <w:r>
        <w:t xml:space="preserve"> </w:t>
      </w:r>
      <w:r>
        <w:t xml:space="preserve">was lower at sample level (δ = −0.482, p = 0.005), although not after Benjamini–Hochberg correction (q = 0.10); because several samples come from the same donor, we repeated the test with the donor as the unit of inference, which gave a larger difference (seven of ten multiple sclerosis donors with NAWM samples versus five control donors, δ = −0.771, uncorrected p = 0.030). In the full GSE138614 sample-level comparison, regression of TRPC1 on MBP, PLP1 and GFAP attenuated the unadjusted difference from δ = −0.562 to Cliff’s δ of −0.418 on the residuals (p = 0.002) but not at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jc w:val="both"/>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jc w:val="both"/>
      </w:pPr>
      <w:r>
        <w:rPr>
          <w:rFonts w:ascii="Times New Roman" w:hAnsi="Times New Roman"/>
          <w:b/>
          <w:sz w:val="19"/>
        </w:rPr>
        <w:t>Figure 4.</w:t>
      </w:r>
      <w:r>
        <w:rPr>
          <w:rFonts w:ascii="Times New Roman" w:hAnsi="Times New Roman"/>
          <w:sz w:val="19"/>
        </w:rPr>
        <w:t xml:space="preserve"> ALS tissue expression of TRPC1, SARAF and CBARP by region. 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36"/>
    <w:bookmarkStart w:id="37" w:name="X5df77ab589002e665ed1956bf6a0a512b2ed6b0"/>
    <w:p>
      <w:pPr>
        <w:pStyle w:val="Heading3"/>
        <w:rPr>
          <w:b w:val="1"/>
        </w:rPr>
        <w:jc w:val="left"/>
      </w:pPr>
      <w:r>
        <w:rPr>
          <w:b/>
        </w:rPr>
        <w:t xml:space="preserve">3.10 Exploratory analysis of ALS regional transcript patterns</w:t>
      </w:r>
    </w:p>
    <w:p>
      <w:pPr>
        <w:pStyle w:val="FirstParagraph"/>
        <w:jc w:val="both"/>
      </w:pPr>
      <w:r>
        <w:t xml:space="preserve">The ALS-control comparisons above establish disease-associated expression differences, but they do not establish that TDP-43 loss caused them. We therefore used cryptic </w:t>
      </w:r>
      <w:r>
        <w:rPr>
          <w:i/>
          <w:iCs/>
        </w:rPr>
        <w:t xml:space="preserve">STMN2</w:t>
      </w:r>
      <w:r>
        <w:t xml:space="preserve"> junction inclusion as an exploratory per-sample indicator of TDP-43-dependent RNA processing (Methods 2.11). The cryptic junction was most frequent in spinal cord and was significantly increased in lumbar cord, cervical cord, medial motor cortex and temporal cortex relative to non-neurological controls (Supplementary Figure S8A; Supplementary Table S8).</w:t>
      </w:r>
    </w:p>
    <w:p>
      <w:pPr>
        <w:pStyle w:val="BodyText"/>
        <w:jc w:val="both"/>
      </w:pPr>
      <w:r>
        <w:t xml:space="preserve">Gene-level </w:t>
      </w:r>
      <w:r>
        <w:rPr>
          <w:i/>
          <w:iCs/>
        </w:rPr>
        <w:t xml:space="preserve">STMN2</w:t>
      </w:r>
      <w:r>
        <w:t xml:space="preserve"> correlated strongly with the neuronal marker </w:t>
      </w:r>
      <w:r>
        <w:rPr>
          <w:i/>
          <w:iCs/>
        </w:rPr>
        <w:t xml:space="preserve">SNAP25</w:t>
      </w:r>
      <w:r>
        <w:t xml:space="preserve"> within ALS samples (ρ = 0.66 to 0.93 across regions), whereas cryptic </w:t>
      </w:r>
      <w:r>
        <w:rPr>
          <w:i/>
          <w:iCs/>
        </w:rPr>
        <w:t xml:space="preserve">STMN2</w:t>
      </w:r>
      <w:r>
        <w:t xml:space="preserve"> PSI did not (ρ = −0.28 to +0.05; Supplementary Figure S8B,C). Total </w:t>
      </w:r>
      <w:r>
        <w:rPr>
          <w:i/>
          <w:iCs/>
        </w:rPr>
        <w:t xml:space="preserve">STMN2</w:t>
      </w:r>
      <w:r>
        <w:t xml:space="preserve"> expression was therefore not used as a specific indicator of TDP-43 dysfunction in bulk tissue.</w:t>
      </w:r>
    </w:p>
    <w:bookmarkEnd w:id="37"/>
    <w:bookmarkEnd w:id="38"/>
    <w:bookmarkStart w:id="39" w:name="discussion"/>
    <w:p>
      <w:pPr>
        <w:pStyle w:val="Heading2"/>
        <w:rPr>
          <w:b w:val="1"/>
        </w:rPr>
        <w:jc w:val="left"/>
      </w:pPr>
      <w:r>
        <w:rPr>
          <w:b w:val="1"/>
        </w:rPr>
        <w:t xml:space="preserve">4. Discussion</w:t>
      </w:r>
    </w:p>
    <w:p>
      <w:pPr>
        <w:pStyle w:val="FirstParagraph"/>
        <w:jc w:val="both"/>
      </w:pPr>
      <w:r>
        <w:t>This study identifies a marked reduction in Fura-2-measured SOCE after TDP-43 knockdown and connects that functional phenotype to coordinated changes in calcium-regulatory transcripts. The central feature is a mismatch between abundance and function: the adjusted STIM and ORAI transcript pools increased, yet the SOCE amplitude decreased by approximately 84%. The data therefore do not support simple loss of the core SOCE machinery. They instead point to altered channel composition, feedback inhibition, ER refilling and cellular bioenergetics as interacting determinants. Across independent datasets, canonical TDP-43 RNA targets behaved as expected, whereas calcium-gene processing changes were selective and context dependent. This combination defines a multilayered calcium-homeostasis phenotype rather than uniform suppression of one channel or one RNA-processing event.</w:t>
      </w:r>
    </w:p>
    <w:p>
      <w:pPr>
        <w:pStyle w:val="BodyText"/>
        <w:jc w:val="both"/>
      </w:pPr>
      <w:r>
        <w:rPr>
          <w:b/>
        </w:rPr>
        <w:t xml:space="preserve">Architecture of the functional phenotype. </w:t>
      </w:r>
      <w:r>
        <w:t xml:space="preserve">The ER-release mean decreased from 0.268 to 0.180 Δ(F340/F380), while the subsequent SOCE amplitude showed a much larger proportional decrease. A smaller releasable store may therefore contribute, but it is unlikely to account on its own for the magnitude of the SOCE decrease. The transcript data identify two mechanistic layers that could act together. First, ATP2A2, which dominates the SERCA family in these cells, decreased modestly and could reduce the efficiency of ER refilling. Second, the ORAI family shifted sharply: ORAI3 rose from 8% to 30% of ORAI transcripts, ORAI2 decreased from 77% to 53%, and SARAF increased. Channel output depends on the relative abundance, assembly and localization of STIM and ORAI proteins rather than their summed RNA abundance; even the STIM1:ORAI1 protein ratio can change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The discordance between a larger transcript pool and lower entry therefore favours a composition or regulatory mechanism over simple transcript insufficiency.</w:t>
      </w:r>
    </w:p>
    <w:p>
      <w:pPr>
        <w:pStyle w:val="BodyText"/>
        <w:jc w:val="both"/>
      </w:pPr>
      <w:r>
        <w:t xml:space="preserve">Interpretation of the Fura-2 readdition signal also depends on Ca²⁺ clearance. The adjusted PMCA transcript pool rose by 35.2% in the public SH-SY5Y model (Table 1); ATP2B2 and ATP2B3 increased by 207% and 307%, respectively, from low baseline abundance, while ATP2A3 rose and ATP2A2 fell. Faster plasma-membrane extrusion or ER re-uptake could reduce the cytosolic peak even if channel influx were unchanged. These RNA measurements do not establish pump protein abundance or activity, and the present assay does not resolve influx from clearance.</w:t>
      </w:r>
    </w:p>
    <w:p>
      <w:pPr>
        <w:pStyle w:val="BodyText"/>
        <w:jc w:val="both"/>
      </w:pPr>
      <w:r>
        <w:rPr>
          <w:b/>
        </w:rPr>
        <w:t xml:space="preserve">Channel composition and neural context. </w:t>
      </w:r>
      <w:r>
        <w:t xml:space="preserve">SARAF promotes slow Ca²⁺-dependent inactivation, while ORAI2 and ORAI3 can modify ORAI1-mediated channel kinetics and restrain entry in heteromeric settings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t xml:space="preserve">. The fivefold ORAI3 increase and higher SARAF are consequently plausible contributors to a smaller SOCE amplitude, whereas the ORAI2 decrease predicts an effect in the opposite direction. ORAI3 should not, however, be treated as intrinsically inhibitory: in primary astrocytes, STIM1 together with ORAI1 and ORAI3 mediates most SOCE, with additional contributions from ORAI2 and TRPC1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t xml:space="preserve">. SARAF also regulates calcium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These comparisons make the observed transcript pattern mechanistically informative without assigning the phenotype to one component: the likely variable is the assembled channel and its feedback kinetics in this cellular background.</w:t>
      </w:r>
    </w:p>
    <w:p>
      <w:pPr>
        <w:pStyle w:val="BodyText"/>
        <w:jc w:val="both"/>
      </w:pPr>
      <w:r>
        <w:rPr>
          <w:b/>
        </w:rPr>
        <w:t xml:space="preserve">Comparison with ALS calcium phenotypes. </w:t>
      </w:r>
      <w:r>
        <w:t xml:space="preserve">The direction of SOCE dysregulation is not uniform across ALS models. SOD1(G93A) astrocytes show enhanced store-operated entry and abnormal Ca²⁺-dependent exocytosis that contributes to astrocyte-mediated toxicity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t xml:space="preserve">. Primary spinal-cord astrocytes from the same genetic model also show increased SOCE together with reduced SERCA abundance and lower resting ER Ca²⁺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t>. TDP-43-depleted SH-SY5Y cells instead showed strongly reduced readdition. The contrast is biologically meaningful because astroglial hyperactive entry, neuronal-like cell entry failure and ER-store depletion can all disturb calcium signalling through different routes. Genetic lesion, cell identity, differentiation state and compensatory timing are therefore likely to determine the direction of the measured phenotype. The present result establishes a reduction in SOCE associated with TDP-43 loss in SH-SY5Y cells and complements, rather than reproduces, the SOD1 astrocyte phenotype.</w:t>
      </w:r>
    </w:p>
    <w:p>
      <w:pPr>
        <w:pStyle w:val="BodyText"/>
        <w:jc w:val="both"/>
      </w:pPr>
      <w:r>
        <w:rPr>
          <w:b/>
        </w:rPr>
        <w:t xml:space="preserve">Metabolic and organelle coupling. </w:t>
      </w:r>
      <w:r>
        <w:t xml:space="preserve">The 48-h WST-1 signal was 38.5% lower after knockdown. The approximately 84% reduction in SOCE amplitude was more than twice this proportional change, arguing against simple scaling of the calcium phenotype by the WST-1 signal, although the assays were performed in separate preparations. This agrees with evidence that TARDBP silencing reduces metabolic activity, cell growth, oxygen consumption and ATP production in human iPSC-derived motor neurons and other human cells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t xml:space="preserve">. The mitochondrial-uptake transcript pool also fell by approximately 25%, mainly through MCU, MICU2 and MCUB. These proteins have distinct effects on uniporter composition and stress-induced mitochondrial Ca²⁺ loading, so their combined RNA decrease cannot be translated directly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It nevertheless links the WST-1 phenotype to a broader bioenergetic and calcium-buffering response. Reduced ATP supply could impair SERCA-dependent store refilling, while altered mitochondrial uptake could change local cytosolic Ca²⁺ clearance near ER and plasma-membrane junctions. This provides a mechanistic route by which cell state, ER release and readdition can decline together without requiring every change to arise from the same channel subunit.</w:t>
      </w:r>
    </w:p>
    <w:p>
      <w:pPr>
        <w:pStyle w:val="BodyText"/>
        <w:jc w:val="both"/>
      </w:pPr>
      <w:r>
        <w:rPr>
          <w:b/>
        </w:rPr>
        <w:t xml:space="preserve">RNA-processing specificity. </w:t>
      </w:r>
      <w:r>
        <w:t xml:space="preserve">The annotation-free analysis recovered established TDP-43-dependent cryptic targets, including the STMN2 and UNC13A programs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Melamed et al., 2019; Brown et al., 2022; Ma et al., 2022)</w:t>
      </w:r>
      <w:r>
        <w:fldChar w:fldCharType="end"/>
      </w:r>
      <w:r>
        <w:t>. Their recovery, together with their absence from the corresponding FUS and TAF15 knockdowns, supports the biological specificity of the analysis. The SOCE genes did not show an equivalent universal cryptic-splicing program. STMN2 shifted clearly in iPSC-derived motor neurons while the SOCE machinery changed little in the APA analysis, and the NMD interaction analysis yielded no genome-wide significant gene. These results separate two levels of TDP-43 biology: canonical loss of RNA repression is reproducible across suitable neuronal models, whereas the calcium phenotype is accompanied by a smaller set of context-dependent processing events and broader changes in transcript-family composition.</w:t>
      </w:r>
    </w:p>
    <w:p>
      <w:pPr>
        <w:pStyle w:val="BodyText"/>
        <w:jc w:val="both"/>
      </w:pPr>
      <w:r>
        <w:rPr>
          <w:b/>
        </w:rPr>
        <w:t xml:space="preserve">CBARP, TRPC1 and junctional regulators. </w:t>
      </w:r>
      <w:r>
        <w:t xml:space="preserve">CBARP is the strongest recurrent RNA-processing candidate: it was affected in five of six datasets across two species, had a median |ΔPSI| of 0.37 and a median of 246 junction reads per event, was independently supported by the annotation-free analysis and showed the largest expression change among the SOCE-regulatory genes. BARP, the CBARP product, binds CaVβ subunits and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xml:space="preserve">. This established function concerns voltage-gated rather than store-operated channels, but it suggests that TDP-43 loss may remodel more than one route of calcium entry and secretion. TRPC1 provides a complementary comparison: reduced TRPC1-dependent entry has been linked to ER stress and loss of AKT/mTOR survival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yet the apparent TRPC1 splicing event in our analysis failed replicate-level robustness checks. CBARP is therefore prioritised by recurrent RNA evidence, whereas TRPC1 remains a biologically plausible effector whose regulation is more likely to involve abundance, assembly or cellular context than a reproducible splice switch.</w:t>
      </w:r>
    </w:p>
    <w:p>
      <w:pPr>
        <w:pStyle w:val="BodyText"/>
        <w:jc w:val="both"/>
      </w:pPr>
      <w:r>
        <w:rPr>
          <w:b/>
        </w:rPr>
        <w:t xml:space="preserve">STIM2, STIMATE and ORAI3. </w:t>
      </w:r>
      <w:r>
        <w:t xml:space="preserve">The 24-nucleotide exon that produces the inhibitory STIM2.1/STIM2β isoform was higher after knockdown in five of six datasets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xml:space="preserve">, but the pooled effect was negligible (ΔPSI +0.0013, 95% CI −0.022 to +0.024; p = 0.914). A shared STIM2.1 switch therefore cannot explain the functional decrease. STIMATE is mechanistically attractive because it promotes the conformational transition that activates STIM1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while the ORAI3 event and ORAI-family redistribution could alter channel assembly in the primary model. Read-support and matched-background analyses were decisive here: they removed isolated events and apparent panel enrichment while retaining CBARP and a small number of model-specific candidates. The resulting hierarchy is stronger than a long candidate list because it distinguishes recurrent signals from coverage-sensitive observations.</w:t>
      </w:r>
    </w:p>
    <w:p>
      <w:pPr>
        <w:pStyle w:val="BodyText"/>
        <w:jc w:val="both"/>
      </w:pPr>
      <w:r>
        <w:rPr>
          <w:b/>
        </w:rPr>
        <w:t xml:space="preserve">Relevance to disease tissue. </w:t>
      </w:r>
      <w:r>
        <w:t xml:space="preserve">TRPC1 and SARAF increased and CBARP decreased in six of seven ALS brain regions, matching the direction observed in the public SH-SY5Y model. TRPC1 remained unchanged in spinal cord and decreased in the neurological comparison cohorts. Because bulk-tissue expression is sensitive to region and cellular composition, these observations identify disease-associated candidates rather than a direct TDP-43-driven mechanism. Together with the opposing direction of SOCE changes reported in SOD1 astrocytes, these findings indicate that cell identity and compensatory state shape the calcium-regulatory phenotype.</w:t>
      </w:r>
    </w:p>
    <w:p>
      <w:pPr>
        <w:pStyle w:val="BodyText"/>
        <w:jc w:val="both"/>
      </w:pPr>
      <w:r>
        <w:rPr>
          <w:b/>
        </w:rPr>
        <w:t xml:space="preserve">Integrated mechanism and testable predictions. </w:t>
      </w:r>
      <w:r>
        <w:t xml:space="preserve">Previous work connecting TDP-43 to Ca²⁺ signalling has centred on ER–mitochondrial contacts: disease-associated TDP-43 disrupts VAPB–PTPIP51 tethering and reduces IP₃-receptor-mediated Ca²⁺ delivery to mitochondria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xml:space="preserve">, whereas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t>(Markovinovic et al., 2024)</w:t>
      </w:r>
      <w:r>
        <w:fldChar w:fldCharType="end"/>
      </w:r>
      <w:r>
        <w:t>. The present findings extend this framework to the plasma-membrane replenishment phase. A coherent model is that TDP-43 loss reduces metabolic and ER-refilling capacity while simultaneously changing the composition and feedback control of the entry machinery; recurrent CBARP processing may add a parallel effect on voltage-gated entry and exocytosis. This model makes discriminating predictions. Correcting ATP2A2 or cellular bioenergetics should improve both ER release and readdition, whereas reducing SARAF or restoring the ORAI balance should preferentially improve the readdition phase. An isoform-specific CBARP perturbation should have a larger effect on depolarization-evoked Ca²⁺ entry or secretion than on CPA-triggered SOCE. These outcomes would distinguish store, channel-composition and broader calcium-network mechanisms and place the functional phenotype within a directly testable neurochemical framework.</w:t>
      </w:r>
    </w:p>
    <w:p>
      <w:pPr>
        <w:pStyle w:val="BodyText"/>
        <w:jc w:val="both"/>
      </w:pPr>
      <w:r>
        <w:t xml:space="preserve">The laboratory assay used undifferentiated, proliferative SH-SY5Y cells; the public iPSC-derived motor-neuron datasets extend the RNA comparisons but do not provide a matched functional measurement in motor neurons.</w:t>
      </w:r>
    </w:p>
    <w:bookmarkEnd w:id="39"/>
    <w:bookmarkStart w:id="40" w:name="conclusion"/>
    <w:p>
      <w:pPr>
        <w:pStyle w:val="Heading2"/>
        <w:rPr>
          <w:b w:val="1"/>
        </w:rPr>
        <w:jc w:val="left"/>
      </w:pPr>
      <w:r>
        <w:rPr>
          <w:b w:val="1"/>
        </w:rPr>
        <w:t xml:space="preserve">5. Conclusion</w:t>
      </w:r>
    </w:p>
    <w:p>
      <w:pPr>
        <w:pStyle w:val="FirstParagraph"/>
        <w:jc w:val="both"/>
      </w:pPr>
      <w:r>
        <w:t xml:space="preserve">TDP-43 depletion in SH-SY5Y cells was associated with a large reduction in Fura-2-measured SOCE and with altered expression and splicing of calcium-regulatory genes. Transcript-family summaries and reproducible </w:t>
      </w:r>
      <w:r>
        <w:rPr>
          <w:i/>
          <w:iCs/>
        </w:rPr>
        <w:t xml:space="preserve">CBARP</w:t>
      </w:r>
      <w:r>
        <w:t xml:space="preserve"> splicing identify candidate explanations, but they do not establish protein stoichiometry or a single causal RNA switch. Coverage-based APA and conservative NMD analyses do not provide confirmatory evidence that SOCE-machinery genes are direct targets of those pathways. In ALS tissue, </w:t>
      </w:r>
      <w:r>
        <w:rPr>
          <w:i/>
          <w:iCs/>
        </w:rPr>
        <w:t xml:space="preserve">TRPC1</w:t>
      </w:r>
      <w:r>
        <w:t xml:space="preserve">, </w:t>
      </w:r>
      <w:r>
        <w:rPr>
          <w:i/>
          <w:iCs/>
        </w:rPr>
        <w:t xml:space="preserve">SARAF</w:t>
      </w:r>
      <w:r>
        <w:t xml:space="preserve"> and </w:t>
      </w:r>
      <w:r>
        <w:rPr>
          <w:i/>
          <w:iCs/>
        </w:rPr>
        <w:t xml:space="preserve">CBARP</w:t>
      </w:r>
      <w:r>
        <w:t xml:space="preserve"> showed region-dependent expression differences. </w:t>
      </w:r>
      <w:r>
        <w:rPr>
          <w:i/>
          <w:iCs/>
        </w:rPr>
        <w:t xml:space="preserve">CBARP</w:t>
      </w:r>
      <w:r>
        <w:t xml:space="preserve">, </w:t>
      </w:r>
      <w:r>
        <w:rPr>
          <w:i/>
          <w:iCs/>
        </w:rPr>
        <w:t xml:space="preserve">SARAF</w:t>
      </w:r>
      <w:r>
        <w:t xml:space="preserve"> and </w:t>
      </w:r>
      <w:r>
        <w:rPr>
          <w:i/>
          <w:iCs/>
        </w:rPr>
        <w:t xml:space="preserve">TRPC1</w:t>
      </w:r>
      <w:r>
        <w:t xml:space="preserve"> are therefore priorities for targeted protein-level and functional follow-up.</w:t>
      </w:r>
    </w:p>
    <w:bookmarkEnd w:id="40"/>
    <w:bookmarkStart w:id="41" w:name="declarations"/>
    <w:p>
      <w:pPr>
        <w:pStyle w:val="Heading2"/>
        <w:rPr>
          <w:b w:val="1"/>
        </w:rPr>
        <w:jc w:val="left"/>
      </w:pPr>
      <w:r>
        <w:rPr>
          <w:b w:val="1"/>
        </w:rPr>
        <w:t xml:space="preserve">Declarations</w:t>
      </w:r>
    </w:p>
    <w:p>
      <w:pPr>
        <w:pStyle w:val="FirstParagraph"/>
        <w:jc w:val="bot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jc w:val="both"/>
      </w:pPr>
      <w:r>
        <w:rPr>
          <w:b/>
          <w:bCs/>
        </w:rPr>
        <w:t xml:space="preserve">Funding.</w:t>
      </w:r>
      <w:r>
        <w:t xml:space="preserve"> </w:t>
      </w:r>
      <w:r>
        <w:t xml:space="preserve">This work was supported by the Ege University Scientific Research Projects Coordination Unit (BAP), project 31901.</w:t>
      </w:r>
    </w:p>
    <w:p>
      <w:pPr>
        <w:pStyle w:val="BodyText"/>
        <w:jc w:val="both"/>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jc w:val="both"/>
      </w:pPr>
      <w:r>
        <w:rPr>
          <w:b/>
          <w:bCs/>
        </w:rPr>
        <w:t xml:space="preserve">Declaration of competing interests.</w:t>
      </w:r>
      <w:r>
        <w:t xml:space="preserve"> </w:t>
      </w:r>
      <w:r>
        <w:t xml:space="preserve">The authors declare no competing interests.</w:t>
      </w:r>
    </w:p>
    <w:p>
      <w:pPr>
        <w:pStyle w:val="BodyText"/>
        <w:jc w:val="both"/>
      </w:pPr>
      <w:r>
        <w:rPr>
          <w:b/>
          <w:bCs/>
        </w:rPr>
        <w:t xml:space="preserve">Data availability.</w:t>
      </w:r>
      <w:r>
        <w:t xml:space="preserve"> </w:t>
      </w:r>
      <w:r>
        <w:t xml:space="preserve">All RNA-seq datasets analysed are public and none were generated for this study; accessions are listed in Supplementary Table S17. The publicly accessible analysis package is deposited at</w:t>
      </w:r>
      <w:r>
        <w:t xml:space="preserve"> </w:t>
      </w:r>
      <w:r>
        <w:rPr>
          <w:b/>
          <w:bCs/>
        </w:rPr>
        <w:t xml:space="preserve">https://github.com/elmasnuryilmaz/tdp43-soce-manuscript</w:t>
      </w:r>
      <w:r>
        <w:t xml:space="preserve">.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v1.0.0 at https://github.com/elmasnuryilmaz/tdp43-soce-manuscript/releases/tag/v1.0.0.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per-replicate values and the statistics behind every laboratory figure panel, are provided in Supplementary Table S1.</w:t>
      </w:r>
    </w:p>
    <w:bookmarkEnd w:id="41"/>
    <w:bookmarkStart w:id="42" w:name="X1f74eb43af444059c7518034463b6c89b1cacf4"/>
    <w:p>
      <w:pPr>
        <w:pStyle w:val="Heading2"/>
        <w:rPr>
          <w:b w:val="1"/>
        </w:rPr>
        <w:jc w:val="left"/>
      </w:pPr>
      <w:r>
        <w:rPr>
          <w:b w:val="1"/>
        </w:rPr>
        <w:t xml:space="preserve">Declaration of generative AI and AI-assisted technologies in the manuscript preparation process</w:t>
      </w:r>
    </w:p>
    <w:p>
      <w:pPr>
        <w:pStyle w:val="FirstParagraph"/>
        <w:jc w:val="both"/>
      </w:pPr>
      <w:r>
        <w:t xml:space="preserve">During preparation of this manuscript, the authors used Anthropic Claude for an initial manuscript draft and OpenAI Codex to assist with editorial review, language revision, formatting and consistency checks. The authors reviewed and edited the output and take full responsibility for the content of the submitted article.</w:t>
      </w:r>
    </w:p>
    <w:bookmarkEnd w:id="42"/>
    <w:bookmarkStart w:id="43" w:name="acknowledgements"/>
    <w:p>
      <w:pPr>
        <w:pStyle w:val="Heading2"/>
        <w:rPr>
          <w:b w:val="1"/>
        </w:rPr>
        <w:jc w:val="left"/>
      </w:pPr>
      <w:r>
        <w:rPr>
          <w:b w:val="1"/>
        </w:rPr>
        <w:t xml:space="preserve">Acknowledgements</w:t>
      </w:r>
    </w:p>
    <w:p>
      <w:pPr>
        <w:pStyle w:val="FirstParagraph"/>
        <w:jc w:val="bot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rPr>
          <w:b w:val="1"/>
        </w:rPr>
        <w:jc w:val="left"/>
      </w:pPr>
      <w:r>
        <w:rPr>
          <w:b w:val="1"/>
        </w:rPr>
        <w:t xml:space="preserve">References</w:t>
      </w:r>
    </w:p>
    <w:p>
      <w:r>
        <w:fldChar w:fldCharType="begin"/>
      </w:r>
      <w:r>
        <w:instrText xml:space="preserve"> ADDIN ZOTERO_BIBL {"uncited":[],"omitted":[],"custom":[]} CSL_BIBLIOGRAPHY </w:instrText>
      </w:r>
      <w:r>
        <w:fldChar w:fldCharType="separate"/>
      </w:r>
      <w:pPr>
        <w:pStyle w:val="FirstParagraph"/>
        <w:jc w:val="bot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jc w:val="both"/>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jc w:val="both"/>
      </w:pPr>
      <w:r>
        <w:t xml:space="preserve">Andrews S. FastQC: a quality control tool for high throughput sequence data. Babraham Bioinformatics; 2010. https://www.bioinformatics.babraham.ac.uk/projects/fastqc/</w:t>
      </w:r>
    </w:p>
    <w:p>
      <w:pPr>
        <w:pStyle w:val="BodyText"/>
        <w:jc w:val="both"/>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jc w:val="both"/>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jc w:val="both"/>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jc w:val="both"/>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jc w:val="both"/>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jc w:val="both"/>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jc w:val="both"/>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jc w:val="both"/>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jc w:val="both"/>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jc w:val="both"/>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jc w:val="both"/>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jc w:val="both"/>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jc w:val="both"/>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jc w:val="both"/>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jc w:val="both"/>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jc w:val="both"/>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jc w:val="both"/>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jc w:val="both"/>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jc w:val="both"/>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jc w:val="both"/>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jc w:val="both"/>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jc w:val="both"/>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jc w:val="both"/>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jc w:val="both"/>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jc w:val="both"/>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jc w:val="both"/>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jc w:val="both"/>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jc w:val="both"/>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jc w:val="both"/>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jc w:val="both"/>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jc w:val="both"/>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jc w:val="both"/>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jc w:val="both"/>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jc w:val="both"/>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jc w:val="both"/>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jc w:val="both"/>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jc w:val="both"/>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jc w:val="both"/>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jc w:val="both"/>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jc w:val="both"/>
      </w:pPr>
      <w:r>
        <w:t xml:space="preserve">National Center for Biotechnology Information (NCBI). SRA Toolkit, version 3.2.1. 2025. https://github.com/ncbi/sra-tools/</w:t>
      </w:r>
    </w:p>
    <w:p>
      <w:pPr>
        <w:pStyle w:val="BodyText"/>
        <w:jc w:val="both"/>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jc w:val="both"/>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jc w:val="both"/>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jc w:val="both"/>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jc w:val="both"/>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jc w:val="both"/>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jc w:val="both"/>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jc w:val="both"/>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jc w:val="both"/>
      </w:pPr>
      <w:r>
        <w:t xml:space="preserve">Prakriya M, Lewis RS. Store-operated calcium channels.</w:t>
      </w:r>
      <w:r>
        <w:t xml:space="preserve"> </w:t>
      </w:r>
      <w:r>
        <w:rPr>
          <w:i/>
          <w:iCs/>
        </w:rPr>
        <w:t xml:space="preserve">Physiol Rev</w:t>
      </w:r>
      <w:r>
        <w:t xml:space="preserve">. 2015;95:1383–1436. doi:10.1152/physrev.00020.2014</w:t>
      </w:r>
    </w:p>
    <w:p>
      <w:pPr>
        <w:pStyle w:val="BodyText"/>
        <w:jc w:val="both"/>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jc w:val="both"/>
      </w:pPr>
      <w:r>
        <w:t xml:space="preserve">Putney JW. Pharmacology of store-operated calcium channels.</w:t>
      </w:r>
      <w:r>
        <w:t xml:space="preserve"> </w:t>
      </w:r>
      <w:r>
        <w:rPr>
          <w:i/>
          <w:iCs/>
        </w:rPr>
        <w:t xml:space="preserve">Mol Interv</w:t>
      </w:r>
      <w:r>
        <w:t xml:space="preserve">. 2010;10:209–218. doi:10.1124/mi.10.4.4</w:t>
      </w:r>
    </w:p>
    <w:p>
      <w:pPr>
        <w:pStyle w:val="BodyText"/>
        <w:jc w:val="both"/>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jc w:val="both"/>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jc w:val="both"/>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jc w:val="both"/>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jc w:val="both"/>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jc w:val="both"/>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jc w:val="both"/>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jc w:val="both"/>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jc w:val="both"/>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jc w:val="both"/>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jc w:val="both"/>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jc w:val="both"/>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jc w:val="both"/>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jc w:val="both"/>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jc w:val="both"/>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jc w:val="both"/>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jc w:val="both"/>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jc w:val="both"/>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jc w:val="both"/>
      </w:pPr>
      <w:r>
        <w:rPr>
          <w:b/>
          <w:bCs/>
        </w:rPr>
        <w:t xml:space="preserve">S1.</w:t>
      </w:r>
      <w:r>
        <w:t xml:space="preserve"> </w:t>
      </w:r>
      <w:r>
        <w:t xml:space="preserve">Laboratory source data: raw Ct values and per-replicate relative expression, Fura-2 amplitudes, 48-h normalised WST-1 signal values, primer sequences and thermal profile, and the summary statistics behind Figures 1 and 2.</w:t>
      </w:r>
    </w:p>
    <w:p>
      <w:pPr>
        <w:pStyle w:val="BodyText"/>
        <w:jc w:val="both"/>
      </w:pPr>
      <w:r>
        <w:rPr>
          <w:b/>
          <w:bCs/>
        </w:rPr>
        <w:t xml:space="preserve">S2.</w:t>
      </w:r>
      <w:r>
        <w:t xml:space="preserve"> </w:t>
      </w:r>
      <w:r>
        <w:t xml:space="preserve">Ca²⁺ gene panels (four cumulative sets).</w:t>
      </w:r>
    </w:p>
    <w:p>
      <w:pPr>
        <w:pStyle w:val="BodyText"/>
        <w:jc w:val="both"/>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jc w:val="both"/>
      </w:pPr>
      <w:r>
        <w:rPr>
          <w:b/>
          <w:bCs/>
        </w:rPr>
        <w:t xml:space="preserve">S4.</w:t>
      </w:r>
      <w:r>
        <w:t xml:space="preserve"> </w:t>
      </w:r>
      <w:r>
        <w:t xml:space="preserve">Matched permutation enrichment results, all datasets and panels.</w:t>
      </w:r>
    </w:p>
    <w:p>
      <w:pPr>
        <w:pStyle w:val="BodyText"/>
        <w:jc w:val="both"/>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jc w:val="both"/>
      </w:pPr>
      <w:r>
        <w:rPr>
          <w:b/>
          <w:bCs/>
        </w:rPr>
        <w:t xml:space="preserve">S6.</w:t>
      </w:r>
      <w:r>
        <w:t xml:space="preserve"> </w:t>
      </w:r>
      <w:r>
        <w:t xml:space="preserve">Cryptic positive controls, the sixteen literature genes, and the dataset × gene recovery matrix for the human comparisons.</w:t>
      </w:r>
    </w:p>
    <w:p>
      <w:pPr>
        <w:pStyle w:val="BodyText"/>
        <w:jc w:val="both"/>
      </w:pPr>
      <w:r>
        <w:rPr>
          <w:b/>
          <w:bCs/>
        </w:rPr>
        <w:t xml:space="preserve">S7.</w:t>
      </w:r>
      <w:r>
        <w:t xml:space="preserve"> </w:t>
      </w:r>
      <w:r>
        <w:t xml:space="preserve">SOCE genes in the annotation-free analysis.</w:t>
      </w:r>
    </w:p>
    <w:p>
      <w:pPr>
        <w:pStyle w:val="BodyText"/>
        <w:jc w:val="both"/>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jc w:val="both"/>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jc w:val="both"/>
      </w:pPr>
      <w:r>
        <w:rPr>
          <w:b/>
          <w:bCs/>
        </w:rPr>
        <w:t xml:space="preserve">S10.</w:t>
      </w:r>
      <w:r>
        <w:t xml:space="preserve"> </w:t>
      </w:r>
      <w:r>
        <w:t xml:space="preserve">Nonsense-mediated decay interaction for the SOCE panel and the panel-level tests, four-condition analysis.</w:t>
      </w:r>
    </w:p>
    <w:p>
      <w:pPr>
        <w:pStyle w:val="BodyText"/>
        <w:jc w:val="both"/>
      </w:pPr>
      <w:r>
        <w:rPr>
          <w:b/>
          <w:bCs/>
        </w:rPr>
        <w:t xml:space="preserve">S11.</w:t>
      </w:r>
      <w:r>
        <w:t xml:space="preserve"> </w:t>
      </w:r>
      <w:r>
        <w:t xml:space="preserve">Depth-qualified intronic polyadenylation and 3′UTR usage estimates in all four comparisons, with the genomic windows of every unit; these are coverage gradients, not direct poly(A)-site calls.</w:t>
      </w:r>
    </w:p>
    <w:p>
      <w:pPr>
        <w:pStyle w:val="BodyText"/>
        <w:jc w:val="both"/>
      </w:pPr>
      <w:r>
        <w:rPr>
          <w:b/>
          <w:bCs/>
        </w:rPr>
        <w:t xml:space="preserve">S12.</w:t>
      </w:r>
      <w:r>
        <w:t xml:space="preserve"> </w:t>
      </w:r>
      <w:r>
        <w:t xml:space="preserve">Machine-readable version of Table 4: cryptic event counts by comparison, with the FUS and TAF15 knockdown controls and the null-test ratios.</w:t>
      </w:r>
    </w:p>
    <w:p>
      <w:pPr>
        <w:pStyle w:val="BodyText"/>
        <w:jc w:val="both"/>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jc w:val="both"/>
      </w:pPr>
      <w:r>
        <w:rPr>
          <w:b/>
          <w:bCs/>
        </w:rPr>
        <w:t xml:space="preserve">S14.</w:t>
      </w:r>
      <w:r>
        <w:t xml:space="preserve"> </w:t>
      </w:r>
      <w:r>
        <w:t xml:space="preserve">Control-versus-control null test of the cryptic calling procedure, under the permissive definition and three stricter thresholds.</w:t>
      </w:r>
    </w:p>
    <w:p>
      <w:pPr>
        <w:pStyle w:val="BodyText"/>
        <w:jc w:val="both"/>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this estimate is compared with S13 in Section 3.5.</w:t>
      </w:r>
    </w:p>
    <w:p>
      <w:pPr>
        <w:pStyle w:val="BodyText"/>
        <w:jc w:val="both"/>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sectPr>
        <w:jc w:val="both"/>
      </w:pPr>
      <w:r>
        <w:rPr>
          <w:b/>
          <w:bCs/>
        </w:rPr>
        <w:t xml:space="preserve">S17.</w:t>
      </w:r>
      <w:r>
        <w:t xml:space="preserve"> </w:t>
      </w:r>
      <w:r>
        <w:t xml:space="preserve">Accession list for every dataset analysed, with design, library type, run-level groups for knockdown experiments and group definitions for patient cohorts. The supplementary material also contains Figures S1–S8 and their legends.</w:t>
      </w:r>
    </w:p>
    <w:bookmarkEnd w:id="45"/>
    <w:bookmarkStart w:id="46" w:name="tables"/>
    <w:p>
      <w:pPr>
        <w:pStyle w:val="Heading2"/>
        <w:suppressLineNumbers/>
        <w:rPr>
          <w:b w:val="1"/>
        </w:rPr>
        <w:jc w:val="left"/>
      </w:pPr>
      <w:r>
        <w:rPr>
          <w:b w:val="1"/>
        </w:rPr>
        <w:t xml:space="preserve">Tables</w:t>
      </w:r>
    </w:p>
    <w:p>
      <w:pPr>
        <w:pStyle w:val="BodyText"/>
        <w:keepNext/>
        <w:suppressLineNumbers/>
        <w:spacing w:before="0" w:after="120" w:line="240" w:lineRule="auto"/>
        <w:jc w:val="both"/>
      </w:pPr>
      <w:r>
        <w:rPr>
          <w:b/>
          <w:bCs/>
        </w:rPr>
        <w:t xml:space="preserve">Table 1.</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7"/>
                <w:szCs w:val="17"/>
              </w:rPr>
            </w:pPr>
            <w:r>
              <w:rPr>
                <w:sz w:val="17"/>
                <w:szCs w:val="17"/>
              </w:rPr>
              <w:t xml:space="preserve">Family</w:t>
            </w:r>
          </w:p>
        </w:tc>
        <w:tc>
          <w:tcPr>
            <w:tcW w:w="1210" w:type="dxa"/>
          </w:tcPr>
          <w:p>
            <w:pPr>
              <w:pStyle w:val="Compact"/>
              <w:suppressLineNumbers/>
              <w:spacing w:before="0" w:after="0" w:line="240" w:lineRule="auto"/>
              <w:jc w:val="left"/>
              <w:rPr>
                <w:sz w:val="17"/>
                <w:szCs w:val="17"/>
              </w:rPr>
            </w:pPr>
            <w:r>
              <w:rPr>
                <w:sz w:val="17"/>
                <w:szCs w:val="17"/>
              </w:rPr>
              <w:t xml:space="preserve">Gene</w:t>
            </w:r>
          </w:p>
        </w:tc>
        <w:tc>
          <w:tcPr>
            <w:tcW w:w="1282" w:type="dxa"/>
          </w:tcPr>
          <w:p>
            <w:pPr>
              <w:pStyle w:val="Compact"/>
              <w:suppressLineNumbers/>
              <w:spacing w:before="0" w:after="0" w:line="240" w:lineRule="auto"/>
              <w:jc w:val="right"/>
              <w:rPr>
                <w:sz w:val="17"/>
                <w:szCs w:val="17"/>
              </w:rPr>
            </w:pPr>
            <w:r>
              <w:rPr>
                <w:sz w:val="17"/>
                <w:szCs w:val="17"/>
              </w:rPr>
              <w:t xml:space="preserve">TPM, control</w:t>
            </w:r>
          </w:p>
        </w:tc>
        <w:tc>
          <w:tcPr>
            <w:tcW w:w="1353" w:type="dxa"/>
          </w:tcPr>
          <w:p>
            <w:pPr>
              <w:pStyle w:val="Compact"/>
              <w:suppressLineNumbers/>
              <w:spacing w:before="0" w:after="0" w:line="240" w:lineRule="auto"/>
              <w:jc w:val="right"/>
              <w:rPr>
                <w:sz w:val="17"/>
                <w:szCs w:val="17"/>
              </w:rPr>
            </w:pPr>
            <w:r>
              <w:rPr>
                <w:sz w:val="17"/>
                <w:szCs w:val="17"/>
              </w:rPr>
              <w:t xml:space="preserve">TPM, knockdown</w:t>
            </w:r>
          </w:p>
        </w:tc>
        <w:tc>
          <w:tcPr>
            <w:tcW w:w="1282" w:type="dxa"/>
          </w:tcPr>
          <w:p>
            <w:pPr>
              <w:pStyle w:val="Compact"/>
              <w:suppressLineNumbers/>
              <w:spacing w:before="0" w:after="0" w:line="240" w:lineRule="auto"/>
              <w:jc w:val="right"/>
              <w:rPr>
                <w:sz w:val="17"/>
                <w:szCs w:val="17"/>
              </w:rPr>
            </w:pPr>
            <w:r>
              <w:rPr>
                <w:sz w:val="17"/>
                <w:szCs w:val="17"/>
              </w:rPr>
              <w:t xml:space="preserve">Adjusted TPM, control</w:t>
            </w:r>
          </w:p>
        </w:tc>
        <w:tc>
          <w:tcPr>
            <w:tcW w:w="1353" w:type="dxa"/>
          </w:tcPr>
          <w:p>
            <w:pPr>
              <w:pStyle w:val="Compact"/>
              <w:suppressLineNumbers/>
              <w:spacing w:before="0" w:after="0" w:line="240" w:lineRule="auto"/>
              <w:jc w:val="right"/>
              <w:rPr>
                <w:sz w:val="17"/>
                <w:szCs w:val="17"/>
              </w:rPr>
            </w:pPr>
            <w:r>
              <w:rPr>
                <w:sz w:val="17"/>
                <w:szCs w:val="17"/>
              </w:rPr>
              <w:t xml:space="preserve">Adjusted TPM, knockdown</w:t>
            </w:r>
          </w:p>
        </w:tc>
        <w:tc>
          <w:tcPr>
            <w:tcW w:w="1496" w:type="dxa"/>
          </w:tcPr>
          <w:p>
            <w:pPr>
              <w:pStyle w:val="Compact"/>
              <w:suppressLineNumbers/>
              <w:spacing w:before="0" w:after="0" w:line="240" w:lineRule="auto"/>
              <w:jc w:val="right"/>
              <w:rPr>
                <w:sz w:val="17"/>
                <w:szCs w:val="17"/>
              </w:rPr>
            </w:pPr>
            <w:r>
              <w:rPr>
                <w:sz w:val="17"/>
                <w:szCs w:val="17"/>
              </w:rPr>
              <w:t xml:space="preserve">Share of family, control (%)</w:t>
            </w:r>
          </w:p>
        </w:tc>
        <w:tc>
          <w:tcPr>
            <w:tcW w:w="1140" w:type="dxa"/>
          </w:tcPr>
          <w:p>
            <w:pPr>
              <w:pStyle w:val="Compact"/>
              <w:suppressLineNumbers/>
              <w:spacing w:before="0" w:after="0" w:line="240" w:lineRule="auto"/>
              <w:jc w:val="right"/>
              <w:rPr>
                <w:sz w:val="17"/>
                <w:szCs w:val="17"/>
              </w:rPr>
            </w:pPr>
            <w:r>
              <w:rPr>
                <w:sz w:val="17"/>
                <w:szCs w:val="17"/>
              </w:rPr>
              <w:t xml:space="preserve">Adjusted change (%)</w:t>
            </w:r>
          </w:p>
        </w:tc>
        <w:tc>
          <w:tcPr>
            <w:tcW w:w="854" w:type="dxa"/>
          </w:tcPr>
          <w:p>
            <w:pPr>
              <w:pStyle w:val="Compact"/>
              <w:suppressLineNumbers/>
              <w:spacing w:before="0" w:after="0" w:line="240" w:lineRule="auto"/>
              <w:jc w:val="right"/>
              <w:rPr>
                <w:sz w:val="17"/>
                <w:szCs w:val="17"/>
              </w:rPr>
            </w:pPr>
            <w:r>
              <w:rPr>
                <w:sz w:val="17"/>
                <w:szCs w:val="17"/>
              </w:rPr>
              <w:t xml:space="preserve">log2FC</w:t>
            </w:r>
          </w:p>
        </w:tc>
        <w:tc>
          <w:tcPr>
            <w:tcW w:w="1210" w:type="dxa"/>
          </w:tcPr>
          <w:p>
            <w:pPr>
              <w:pStyle w:val="Compact"/>
              <w:suppressLineNumbers/>
              <w:spacing w:before="0" w:after="0" w:line="240" w:lineRule="auto"/>
              <w:jc w:val="right"/>
              <w:rPr>
                <w:sz w:val="17"/>
                <w:szCs w:val="17"/>
              </w:rPr>
            </w:pPr>
            <w:r>
              <w:rPr>
                <w:sz w:val="17"/>
                <w:szCs w:val="17"/>
              </w:rPr>
              <w:t xml:space="preserve">p_adj</w:t>
            </w:r>
          </w:p>
        </w:tc>
      </w:tr>
      <w:tr>
        <w:tc>
          <w:tcPr>
            <w:tcW w:w="2778" w:type="dxa"/>
          </w:tcPr>
          <w:p>
            <w:pPr>
              <w:pStyle w:val="Compact"/>
              <w:suppressLineNumbers/>
              <w:spacing w:before="0" w:after="0" w:line="240" w:lineRule="auto"/>
              <w:jc w:val="left"/>
              <w:rPr>
                <w:sz w:val="17"/>
                <w:szCs w:val="17"/>
              </w:rPr>
            </w:pPr>
            <w:r>
              <w:rPr>
                <w:sz w:val="17"/>
                <w:szCs w:val="17"/>
              </w:rPr>
              <w:t xml:space="preserve">STIM (ER Ca²⁺ sensor)</w:t>
            </w:r>
          </w:p>
        </w:tc>
        <w:tc>
          <w:tcPr>
            <w:tcW w:w="1210" w:type="dxa"/>
          </w:tcPr>
          <w:p>
            <w:pPr>
              <w:pStyle w:val="Compact"/>
              <w:suppressLineNumbers/>
              <w:spacing w:before="0" w:after="0" w:line="240" w:lineRule="auto"/>
              <w:jc w:val="left"/>
              <w:rPr>
                <w:sz w:val="17"/>
                <w:szCs w:val="17"/>
              </w:rPr>
            </w:pPr>
            <w:r>
              <w:rPr>
                <w:b/>
                <w:bCs/>
                <w:i/>
                <w:iCs/>
                <w:sz w:val="17"/>
                <w:szCs w:val="17"/>
              </w:rPr>
              <w:t xml:space="preserve">STIM1</w:t>
            </w:r>
          </w:p>
        </w:tc>
        <w:tc>
          <w:tcPr>
            <w:tcW w:w="1282" w:type="dxa"/>
          </w:tcPr>
          <w:p>
            <w:pPr>
              <w:pStyle w:val="Compact"/>
              <w:suppressLineNumbers/>
              <w:spacing w:before="0" w:after="0" w:line="240" w:lineRule="auto"/>
              <w:jc w:val="right"/>
              <w:rPr>
                <w:sz w:val="17"/>
                <w:szCs w:val="17"/>
              </w:rPr>
            </w:pPr>
            <w:r>
              <w:rPr>
                <w:sz w:val="17"/>
                <w:szCs w:val="17"/>
              </w:rPr>
              <w:t xml:space="preserve">35.46</w:t>
            </w:r>
          </w:p>
        </w:tc>
        <w:tc>
          <w:tcPr>
            <w:tcW w:w="1353" w:type="dxa"/>
          </w:tcPr>
          <w:p>
            <w:pPr>
              <w:pStyle w:val="Compact"/>
              <w:suppressLineNumbers/>
              <w:spacing w:before="0" w:after="0" w:line="240" w:lineRule="auto"/>
              <w:jc w:val="right"/>
              <w:rPr>
                <w:sz w:val="17"/>
                <w:szCs w:val="17"/>
              </w:rPr>
            </w:pPr>
            <w:r>
              <w:rPr>
                <w:sz w:val="17"/>
                <w:szCs w:val="17"/>
              </w:rPr>
              <w:t xml:space="preserve">50.54</w:t>
            </w:r>
          </w:p>
        </w:tc>
        <w:tc>
          <w:tcPr>
            <w:tcW w:w="1282" w:type="dxa"/>
          </w:tcPr>
          <w:p>
            <w:pPr>
              <w:pStyle w:val="Compact"/>
              <w:suppressLineNumbers/>
              <w:spacing w:before="0" w:after="0" w:line="240" w:lineRule="auto"/>
              <w:jc w:val="right"/>
              <w:rPr>
                <w:sz w:val="17"/>
                <w:szCs w:val="17"/>
              </w:rPr>
            </w:pPr>
            <w:r>
              <w:rPr>
                <w:sz w:val="17"/>
                <w:szCs w:val="17"/>
              </w:rPr>
              <w:t xml:space="preserve">30.95</w:t>
            </w:r>
          </w:p>
        </w:tc>
        <w:tc>
          <w:tcPr>
            <w:tcW w:w="1353" w:type="dxa"/>
          </w:tcPr>
          <w:p>
            <w:pPr>
              <w:pStyle w:val="Compact"/>
              <w:suppressLineNumbers/>
              <w:spacing w:before="0" w:after="0" w:line="240" w:lineRule="auto"/>
              <w:jc w:val="right"/>
              <w:rPr>
                <w:sz w:val="17"/>
                <w:szCs w:val="17"/>
              </w:rPr>
            </w:pPr>
            <w:r>
              <w:rPr>
                <w:sz w:val="17"/>
                <w:szCs w:val="17"/>
              </w:rPr>
              <w:t xml:space="preserve">57.74</w:t>
            </w:r>
          </w:p>
        </w:tc>
        <w:tc>
          <w:tcPr>
            <w:tcW w:w="1496" w:type="dxa"/>
          </w:tcPr>
          <w:p>
            <w:pPr>
              <w:pStyle w:val="Compact"/>
              <w:suppressLineNumbers/>
              <w:spacing w:before="0" w:after="0" w:line="240" w:lineRule="auto"/>
              <w:jc w:val="right"/>
              <w:rPr>
                <w:sz w:val="17"/>
                <w:szCs w:val="17"/>
              </w:rPr>
            </w:pPr>
            <w:r>
              <w:rPr>
                <w:sz w:val="17"/>
                <w:szCs w:val="17"/>
              </w:rPr>
              <w:t xml:space="preserve">64.0</w:t>
            </w:r>
          </w:p>
        </w:tc>
        <w:tc>
          <w:tcPr>
            <w:tcW w:w="1140" w:type="dxa"/>
          </w:tcPr>
          <w:p>
            <w:pPr>
              <w:pStyle w:val="Compact"/>
              <w:suppressLineNumbers/>
              <w:spacing w:before="0" w:after="0" w:line="240" w:lineRule="auto"/>
              <w:jc w:val="right"/>
              <w:rPr>
                <w:sz w:val="17"/>
                <w:szCs w:val="17"/>
              </w:rPr>
            </w:pPr>
            <w:r>
              <w:rPr>
                <w:sz w:val="17"/>
                <w:szCs w:val="17"/>
              </w:rPr>
              <w:t xml:space="preserve">+86.5</w:t>
            </w:r>
          </w:p>
        </w:tc>
        <w:tc>
          <w:tcPr>
            <w:tcW w:w="854" w:type="dxa"/>
          </w:tcPr>
          <w:p>
            <w:pPr>
              <w:pStyle w:val="Compact"/>
              <w:suppressLineNumbers/>
              <w:spacing w:before="0" w:after="0" w:line="240" w:lineRule="auto"/>
              <w:jc w:val="right"/>
              <w:rPr>
                <w:sz w:val="17"/>
                <w:szCs w:val="17"/>
              </w:rPr>
            </w:pPr>
            <w:r>
              <w:rPr>
                <w:sz w:val="17"/>
                <w:szCs w:val="17"/>
              </w:rPr>
              <w:t xml:space="preserve">+0.929</w:t>
            </w:r>
          </w:p>
        </w:tc>
        <w:tc>
          <w:tcPr>
            <w:tcW w:w="1210" w:type="dxa"/>
          </w:tcPr>
          <w:p>
            <w:pPr>
              <w:pStyle w:val="Compact"/>
              <w:suppressLineNumbers/>
              <w:spacing w:before="0" w:after="0" w:line="240" w:lineRule="auto"/>
              <w:jc w:val="right"/>
              <w:rPr>
                <w:sz w:val="17"/>
                <w:szCs w:val="17"/>
              </w:rPr>
            </w:pPr>
            <w:r>
              <w:rPr>
                <w:sz w:val="17"/>
                <w:szCs w:val="17"/>
              </w:rPr>
              <w:t xml:space="preserve">4.3 × 10⁻⁴⁷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STIM2</w:t>
            </w:r>
          </w:p>
        </w:tc>
        <w:tc>
          <w:tcPr>
            <w:tcW w:w="1282" w:type="dxa"/>
          </w:tcPr>
          <w:p>
            <w:pPr>
              <w:pStyle w:val="Compact"/>
              <w:suppressLineNumbers/>
              <w:spacing w:before="0" w:after="0" w:line="240" w:lineRule="auto"/>
              <w:jc w:val="right"/>
              <w:rPr>
                <w:sz w:val="17"/>
                <w:szCs w:val="17"/>
              </w:rPr>
            </w:pPr>
            <w:r>
              <w:rPr>
                <w:sz w:val="17"/>
                <w:szCs w:val="17"/>
              </w:rPr>
              <w:t xml:space="preserve">20.01</w:t>
            </w:r>
          </w:p>
        </w:tc>
        <w:tc>
          <w:tcPr>
            <w:tcW w:w="1353" w:type="dxa"/>
          </w:tcPr>
          <w:p>
            <w:pPr>
              <w:pStyle w:val="Compact"/>
              <w:suppressLineNumbers/>
              <w:spacing w:before="0" w:after="0" w:line="240" w:lineRule="auto"/>
              <w:jc w:val="right"/>
              <w:rPr>
                <w:sz w:val="17"/>
                <w:szCs w:val="17"/>
              </w:rPr>
            </w:pPr>
            <w:r>
              <w:rPr>
                <w:sz w:val="17"/>
                <w:szCs w:val="17"/>
              </w:rPr>
              <w:t xml:space="preserve">12.02</w:t>
            </w:r>
          </w:p>
        </w:tc>
        <w:tc>
          <w:tcPr>
            <w:tcW w:w="1282" w:type="dxa"/>
          </w:tcPr>
          <w:p>
            <w:pPr>
              <w:pStyle w:val="Compact"/>
              <w:suppressLineNumbers/>
              <w:spacing w:before="0" w:after="0" w:line="240" w:lineRule="auto"/>
              <w:jc w:val="right"/>
              <w:rPr>
                <w:sz w:val="17"/>
                <w:szCs w:val="17"/>
              </w:rPr>
            </w:pPr>
            <w:r>
              <w:rPr>
                <w:sz w:val="17"/>
                <w:szCs w:val="17"/>
              </w:rPr>
              <w:t xml:space="preserve">17.45</w:t>
            </w:r>
          </w:p>
        </w:tc>
        <w:tc>
          <w:tcPr>
            <w:tcW w:w="1353" w:type="dxa"/>
          </w:tcPr>
          <w:p>
            <w:pPr>
              <w:pStyle w:val="Compact"/>
              <w:suppressLineNumbers/>
              <w:spacing w:before="0" w:after="0" w:line="240" w:lineRule="auto"/>
              <w:jc w:val="right"/>
              <w:rPr>
                <w:sz w:val="17"/>
                <w:szCs w:val="17"/>
              </w:rPr>
            </w:pPr>
            <w:r>
              <w:rPr>
                <w:sz w:val="17"/>
                <w:szCs w:val="17"/>
              </w:rPr>
              <w:t xml:space="preserve">13.73</w:t>
            </w:r>
          </w:p>
        </w:tc>
        <w:tc>
          <w:tcPr>
            <w:tcW w:w="1496" w:type="dxa"/>
          </w:tcPr>
          <w:p>
            <w:pPr>
              <w:pStyle w:val="Compact"/>
              <w:suppressLineNumbers/>
              <w:spacing w:before="0" w:after="0" w:line="240" w:lineRule="auto"/>
              <w:jc w:val="right"/>
              <w:rPr>
                <w:sz w:val="17"/>
                <w:szCs w:val="17"/>
              </w:rPr>
            </w:pPr>
            <w:r>
              <w:rPr>
                <w:sz w:val="17"/>
                <w:szCs w:val="17"/>
              </w:rPr>
              <w:t xml:space="preserve">36.0</w:t>
            </w:r>
          </w:p>
        </w:tc>
        <w:tc>
          <w:tcPr>
            <w:tcW w:w="1140" w:type="dxa"/>
          </w:tcPr>
          <w:p>
            <w:pPr>
              <w:pStyle w:val="Compact"/>
              <w:suppressLineNumbers/>
              <w:spacing w:before="0" w:after="0" w:line="240" w:lineRule="auto"/>
              <w:jc w:val="right"/>
              <w:rPr>
                <w:sz w:val="17"/>
                <w:szCs w:val="17"/>
              </w:rPr>
            </w:pPr>
            <w:r>
              <w:rPr>
                <w:sz w:val="17"/>
                <w:szCs w:val="17"/>
              </w:rPr>
              <w:t xml:space="preserve">−21.3</w:t>
            </w:r>
          </w:p>
        </w:tc>
        <w:tc>
          <w:tcPr>
            <w:tcW w:w="854" w:type="dxa"/>
          </w:tcPr>
          <w:p>
            <w:pPr>
              <w:pStyle w:val="Compact"/>
              <w:suppressLineNumbers/>
              <w:spacing w:before="0" w:after="0" w:line="240" w:lineRule="auto"/>
              <w:jc w:val="right"/>
              <w:rPr>
                <w:sz w:val="17"/>
                <w:szCs w:val="17"/>
              </w:rPr>
            </w:pPr>
            <w:r>
              <w:rPr>
                <w:sz w:val="17"/>
                <w:szCs w:val="17"/>
              </w:rPr>
              <w:t xml:space="preserve">−0.527</w:t>
            </w:r>
          </w:p>
        </w:tc>
        <w:tc>
          <w:tcPr>
            <w:tcW w:w="1210" w:type="dxa"/>
          </w:tcPr>
          <w:p>
            <w:pPr>
              <w:pStyle w:val="Compact"/>
              <w:suppressLineNumbers/>
              <w:spacing w:before="0" w:after="0" w:line="240" w:lineRule="auto"/>
              <w:jc w:val="right"/>
              <w:rPr>
                <w:sz w:val="17"/>
                <w:szCs w:val="17"/>
              </w:rPr>
            </w:pPr>
            <w:r>
              <w:rPr>
                <w:sz w:val="17"/>
                <w:szCs w:val="17"/>
              </w:rPr>
              <w:t xml:space="preserve">1.8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55.47</w:t>
            </w:r>
          </w:p>
        </w:tc>
        <w:tc>
          <w:tcPr>
            <w:tcW w:w="1353" w:type="dxa"/>
          </w:tcPr>
          <w:p>
            <w:pPr>
              <w:pStyle w:val="Compact"/>
              <w:suppressLineNumbers/>
              <w:spacing w:before="0" w:after="0" w:line="240" w:lineRule="auto"/>
              <w:jc w:val="right"/>
              <w:rPr>
                <w:sz w:val="17"/>
                <w:szCs w:val="17"/>
              </w:rPr>
            </w:pPr>
            <w:r>
              <w:rPr>
                <w:sz w:val="17"/>
                <w:szCs w:val="17"/>
              </w:rPr>
              <w:t xml:space="preserve">62.55</w:t>
            </w:r>
          </w:p>
        </w:tc>
        <w:tc>
          <w:tcPr>
            <w:tcW w:w="1282" w:type="dxa"/>
          </w:tcPr>
          <w:p>
            <w:pPr>
              <w:pStyle w:val="Compact"/>
              <w:suppressLineNumbers/>
              <w:spacing w:before="0" w:after="0" w:line="240" w:lineRule="auto"/>
              <w:jc w:val="right"/>
              <w:rPr>
                <w:sz w:val="17"/>
                <w:szCs w:val="17"/>
              </w:rPr>
            </w:pPr>
            <w:r>
              <w:rPr>
                <w:sz w:val="17"/>
                <w:szCs w:val="17"/>
              </w:rPr>
              <w:t xml:space="preserve">48.40</w:t>
            </w:r>
          </w:p>
        </w:tc>
        <w:tc>
          <w:tcPr>
            <w:tcW w:w="1353" w:type="dxa"/>
          </w:tcPr>
          <w:p>
            <w:pPr>
              <w:pStyle w:val="Compact"/>
              <w:suppressLineNumbers/>
              <w:spacing w:before="0" w:after="0" w:line="240" w:lineRule="auto"/>
              <w:jc w:val="right"/>
              <w:rPr>
                <w:sz w:val="17"/>
                <w:szCs w:val="17"/>
              </w:rPr>
            </w:pPr>
            <w:r>
              <w:rPr>
                <w:sz w:val="17"/>
                <w:szCs w:val="17"/>
              </w:rPr>
              <w:t xml:space="preserve">71.47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+47.7</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ORAI (CRAC channel)</w:t>
            </w:r>
          </w:p>
        </w:tc>
        <w:tc>
          <w:tcPr>
            <w:tcW w:w="1210" w:type="dxa"/>
          </w:tcPr>
          <w:p>
            <w:pPr>
              <w:pStyle w:val="Compact"/>
              <w:suppressLineNumbers/>
              <w:spacing w:before="0" w:after="0" w:line="240" w:lineRule="auto"/>
              <w:jc w:val="left"/>
              <w:rPr>
                <w:sz w:val="17"/>
                <w:szCs w:val="17"/>
              </w:rPr>
            </w:pPr>
            <w:r>
              <w:rPr>
                <w:i/>
                <w:iCs/>
                <w:sz w:val="17"/>
                <w:szCs w:val="17"/>
              </w:rPr>
              <w:t xml:space="preserve">ORAI1</w:t>
            </w:r>
          </w:p>
        </w:tc>
        <w:tc>
          <w:tcPr>
            <w:tcW w:w="1282" w:type="dxa"/>
          </w:tcPr>
          <w:p>
            <w:pPr>
              <w:pStyle w:val="Compact"/>
              <w:suppressLineNumbers/>
              <w:spacing w:before="0" w:after="0" w:line="240" w:lineRule="auto"/>
              <w:jc w:val="right"/>
              <w:rPr>
                <w:sz w:val="17"/>
                <w:szCs w:val="17"/>
              </w:rPr>
            </w:pPr>
            <w:r>
              <w:rPr>
                <w:sz w:val="17"/>
                <w:szCs w:val="17"/>
              </w:rPr>
              <w:t xml:space="preserve">10.60</w:t>
            </w:r>
          </w:p>
        </w:tc>
        <w:tc>
          <w:tcPr>
            <w:tcW w:w="1353" w:type="dxa"/>
          </w:tcPr>
          <w:p>
            <w:pPr>
              <w:pStyle w:val="Compact"/>
              <w:suppressLineNumbers/>
              <w:spacing w:before="0" w:after="0" w:line="240" w:lineRule="auto"/>
              <w:jc w:val="right"/>
              <w:rPr>
                <w:sz w:val="17"/>
                <w:szCs w:val="17"/>
              </w:rPr>
            </w:pPr>
            <w:r>
              <w:rPr>
                <w:sz w:val="17"/>
                <w:szCs w:val="17"/>
              </w:rPr>
              <w:t xml:space="preserve">11.70</w:t>
            </w:r>
          </w:p>
        </w:tc>
        <w:tc>
          <w:tcPr>
            <w:tcW w:w="1282" w:type="dxa"/>
          </w:tcPr>
          <w:p>
            <w:pPr>
              <w:pStyle w:val="Compact"/>
              <w:suppressLineNumbers/>
              <w:spacing w:before="0" w:after="0" w:line="240" w:lineRule="auto"/>
              <w:jc w:val="right"/>
              <w:rPr>
                <w:sz w:val="17"/>
                <w:szCs w:val="17"/>
              </w:rPr>
            </w:pPr>
            <w:r>
              <w:rPr>
                <w:sz w:val="17"/>
                <w:szCs w:val="17"/>
              </w:rPr>
              <w:t xml:space="preserve">9.25</w:t>
            </w:r>
          </w:p>
        </w:tc>
        <w:tc>
          <w:tcPr>
            <w:tcW w:w="1353" w:type="dxa"/>
          </w:tcPr>
          <w:p>
            <w:pPr>
              <w:pStyle w:val="Compact"/>
              <w:suppressLineNumbers/>
              <w:spacing w:before="0" w:after="0" w:line="240" w:lineRule="auto"/>
              <w:jc w:val="right"/>
              <w:rPr>
                <w:sz w:val="17"/>
                <w:szCs w:val="17"/>
              </w:rPr>
            </w:pPr>
            <w:r>
              <w:rPr>
                <w:sz w:val="17"/>
                <w:szCs w:val="17"/>
              </w:rPr>
              <w:t xml:space="preserve">13.37</w:t>
            </w:r>
          </w:p>
        </w:tc>
        <w:tc>
          <w:tcPr>
            <w:tcW w:w="1496" w:type="dxa"/>
          </w:tcPr>
          <w:p>
            <w:pPr>
              <w:pStyle w:val="Compact"/>
              <w:suppressLineNumbers/>
              <w:spacing w:before="0" w:after="0" w:line="240" w:lineRule="auto"/>
              <w:jc w:val="right"/>
              <w:rPr>
                <w:sz w:val="17"/>
                <w:szCs w:val="17"/>
              </w:rPr>
            </w:pPr>
            <w:r>
              <w:rPr>
                <w:sz w:val="17"/>
                <w:szCs w:val="17"/>
              </w:rPr>
              <w:t xml:space="preserve">15.2</w:t>
            </w:r>
          </w:p>
        </w:tc>
        <w:tc>
          <w:tcPr>
            <w:tcW w:w="1140" w:type="dxa"/>
          </w:tcPr>
          <w:p>
            <w:pPr>
              <w:pStyle w:val="Compact"/>
              <w:suppressLineNumbers/>
              <w:spacing w:before="0" w:after="0" w:line="240" w:lineRule="auto"/>
              <w:jc w:val="right"/>
              <w:rPr>
                <w:sz w:val="17"/>
                <w:szCs w:val="17"/>
              </w:rPr>
            </w:pPr>
            <w:r>
              <w:rPr>
                <w:sz w:val="17"/>
                <w:szCs w:val="17"/>
              </w:rPr>
              <w:t xml:space="preserve">+44.5</w:t>
            </w:r>
          </w:p>
        </w:tc>
        <w:tc>
          <w:tcPr>
            <w:tcW w:w="854" w:type="dxa"/>
          </w:tcPr>
          <w:p>
            <w:pPr>
              <w:pStyle w:val="Compact"/>
              <w:suppressLineNumbers/>
              <w:spacing w:before="0" w:after="0" w:line="240" w:lineRule="auto"/>
              <w:jc w:val="right"/>
              <w:rPr>
                <w:sz w:val="17"/>
                <w:szCs w:val="17"/>
              </w:rPr>
            </w:pPr>
            <w:r>
              <w:rPr>
                <w:sz w:val="17"/>
                <w:szCs w:val="17"/>
              </w:rPr>
              <w:t xml:space="preserve">+0.433</w:t>
            </w:r>
          </w:p>
        </w:tc>
        <w:tc>
          <w:tcPr>
            <w:tcW w:w="1210" w:type="dxa"/>
          </w:tcPr>
          <w:p>
            <w:pPr>
              <w:pStyle w:val="Compact"/>
              <w:suppressLineNumbers/>
              <w:spacing w:before="0" w:after="0" w:line="240" w:lineRule="auto"/>
              <w:jc w:val="right"/>
              <w:rPr>
                <w:sz w:val="17"/>
                <w:szCs w:val="17"/>
              </w:rPr>
            </w:pPr>
            <w:r>
              <w:rPr>
                <w:sz w:val="17"/>
                <w:szCs w:val="17"/>
              </w:rPr>
              <w:t xml:space="preserve">2.4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ORAI2</w:t>
            </w:r>
          </w:p>
        </w:tc>
        <w:tc>
          <w:tcPr>
            <w:tcW w:w="1282" w:type="dxa"/>
          </w:tcPr>
          <w:p>
            <w:pPr>
              <w:pStyle w:val="Compact"/>
              <w:suppressLineNumbers/>
              <w:spacing w:before="0" w:after="0" w:line="240" w:lineRule="auto"/>
              <w:jc w:val="right"/>
              <w:rPr>
                <w:sz w:val="17"/>
                <w:szCs w:val="17"/>
              </w:rPr>
            </w:pPr>
            <w:r>
              <w:rPr>
                <w:sz w:val="17"/>
                <w:szCs w:val="17"/>
              </w:rPr>
              <w:t xml:space="preserve">53.78</w:t>
            </w:r>
          </w:p>
        </w:tc>
        <w:tc>
          <w:tcPr>
            <w:tcW w:w="1353" w:type="dxa"/>
          </w:tcPr>
          <w:p>
            <w:pPr>
              <w:pStyle w:val="Compact"/>
              <w:suppressLineNumbers/>
              <w:spacing w:before="0" w:after="0" w:line="240" w:lineRule="auto"/>
              <w:jc w:val="right"/>
              <w:rPr>
                <w:sz w:val="17"/>
                <w:szCs w:val="17"/>
              </w:rPr>
            </w:pPr>
            <w:r>
              <w:rPr>
                <w:sz w:val="17"/>
                <w:szCs w:val="17"/>
              </w:rPr>
              <w:t xml:space="preserve">35.86</w:t>
            </w:r>
          </w:p>
        </w:tc>
        <w:tc>
          <w:tcPr>
            <w:tcW w:w="1282" w:type="dxa"/>
          </w:tcPr>
          <w:p>
            <w:pPr>
              <w:pStyle w:val="Compact"/>
              <w:suppressLineNumbers/>
              <w:spacing w:before="0" w:after="0" w:line="240" w:lineRule="auto"/>
              <w:jc w:val="right"/>
              <w:rPr>
                <w:sz w:val="17"/>
                <w:szCs w:val="17"/>
              </w:rPr>
            </w:pPr>
            <w:r>
              <w:rPr>
                <w:sz w:val="17"/>
                <w:szCs w:val="17"/>
              </w:rPr>
              <w:t xml:space="preserve">46.92</w:t>
            </w:r>
          </w:p>
        </w:tc>
        <w:tc>
          <w:tcPr>
            <w:tcW w:w="1353" w:type="dxa"/>
          </w:tcPr>
          <w:p>
            <w:pPr>
              <w:pStyle w:val="Compact"/>
              <w:suppressLineNumbers/>
              <w:spacing w:before="0" w:after="0" w:line="240" w:lineRule="auto"/>
              <w:jc w:val="right"/>
              <w:rPr>
                <w:sz w:val="17"/>
                <w:szCs w:val="17"/>
              </w:rPr>
            </w:pPr>
            <w:r>
              <w:rPr>
                <w:sz w:val="17"/>
                <w:szCs w:val="17"/>
              </w:rPr>
              <w:t xml:space="preserve">40.98</w:t>
            </w:r>
          </w:p>
        </w:tc>
        <w:tc>
          <w:tcPr>
            <w:tcW w:w="1496" w:type="dxa"/>
          </w:tcPr>
          <w:p>
            <w:pPr>
              <w:pStyle w:val="Compact"/>
              <w:suppressLineNumbers/>
              <w:spacing w:before="0" w:after="0" w:line="240" w:lineRule="auto"/>
              <w:jc w:val="right"/>
              <w:rPr>
                <w:sz w:val="17"/>
                <w:szCs w:val="17"/>
              </w:rPr>
            </w:pPr>
            <w:r>
              <w:rPr>
                <w:sz w:val="17"/>
                <w:szCs w:val="17"/>
              </w:rPr>
              <w:t xml:space="preserve">77.2</w:t>
            </w:r>
          </w:p>
        </w:tc>
        <w:tc>
          <w:tcPr>
            <w:tcW w:w="1140" w:type="dxa"/>
          </w:tcPr>
          <w:p>
            <w:pPr>
              <w:pStyle w:val="Compact"/>
              <w:suppressLineNumbers/>
              <w:spacing w:before="0" w:after="0" w:line="240" w:lineRule="auto"/>
              <w:jc w:val="right"/>
              <w:rPr>
                <w:sz w:val="17"/>
                <w:szCs w:val="17"/>
              </w:rPr>
            </w:pPr>
            <w:r>
              <w:rPr>
                <w:sz w:val="17"/>
                <w:szCs w:val="17"/>
              </w:rPr>
              <w:t xml:space="preserve">−12.7</w:t>
            </w:r>
          </w:p>
        </w:tc>
        <w:tc>
          <w:tcPr>
            <w:tcW w:w="854" w:type="dxa"/>
          </w:tcPr>
          <w:p>
            <w:pPr>
              <w:pStyle w:val="Compact"/>
              <w:suppressLineNumbers/>
              <w:spacing w:before="0" w:after="0" w:line="240" w:lineRule="auto"/>
              <w:jc w:val="right"/>
              <w:rPr>
                <w:sz w:val="17"/>
                <w:szCs w:val="17"/>
              </w:rPr>
            </w:pPr>
            <w:r>
              <w:rPr>
                <w:sz w:val="17"/>
                <w:szCs w:val="17"/>
              </w:rPr>
              <w:t xml:space="preserve">−0.173</w:t>
            </w:r>
          </w:p>
        </w:tc>
        <w:tc>
          <w:tcPr>
            <w:tcW w:w="1210" w:type="dxa"/>
          </w:tcPr>
          <w:p>
            <w:pPr>
              <w:pStyle w:val="Compact"/>
              <w:suppressLineNumbers/>
              <w:spacing w:before="0" w:after="0" w:line="240" w:lineRule="auto"/>
              <w:jc w:val="right"/>
              <w:rPr>
                <w:sz w:val="17"/>
                <w:szCs w:val="17"/>
              </w:rPr>
            </w:pPr>
            <w:r>
              <w:rPr>
                <w:sz w:val="17"/>
                <w:szCs w:val="17"/>
              </w:rPr>
              <w:t xml:space="preserve">2.2 × 10⁻³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ORAI3</w:t>
            </w:r>
          </w:p>
        </w:tc>
        <w:tc>
          <w:tcPr>
            <w:tcW w:w="1282" w:type="dxa"/>
          </w:tcPr>
          <w:p>
            <w:pPr>
              <w:pStyle w:val="Compact"/>
              <w:suppressLineNumbers/>
              <w:spacing w:before="0" w:after="0" w:line="240" w:lineRule="auto"/>
              <w:jc w:val="right"/>
              <w:rPr>
                <w:sz w:val="17"/>
                <w:szCs w:val="17"/>
              </w:rPr>
            </w:pPr>
            <w:r>
              <w:rPr>
                <w:sz w:val="17"/>
                <w:szCs w:val="17"/>
              </w:rPr>
              <w:t xml:space="preserve">5.24</w:t>
            </w:r>
          </w:p>
        </w:tc>
        <w:tc>
          <w:tcPr>
            <w:tcW w:w="1353" w:type="dxa"/>
          </w:tcPr>
          <w:p>
            <w:pPr>
              <w:pStyle w:val="Compact"/>
              <w:suppressLineNumbers/>
              <w:spacing w:before="0" w:after="0" w:line="240" w:lineRule="auto"/>
              <w:jc w:val="right"/>
              <w:rPr>
                <w:sz w:val="17"/>
                <w:szCs w:val="17"/>
              </w:rPr>
            </w:pPr>
            <w:r>
              <w:rPr>
                <w:sz w:val="17"/>
                <w:szCs w:val="17"/>
              </w:rPr>
              <w:t xml:space="preserve">20.06</w:t>
            </w:r>
          </w:p>
        </w:tc>
        <w:tc>
          <w:tcPr>
            <w:tcW w:w="1282" w:type="dxa"/>
          </w:tcPr>
          <w:p>
            <w:pPr>
              <w:pStyle w:val="Compact"/>
              <w:suppressLineNumbers/>
              <w:spacing w:before="0" w:after="0" w:line="240" w:lineRule="auto"/>
              <w:jc w:val="right"/>
              <w:rPr>
                <w:sz w:val="17"/>
                <w:szCs w:val="17"/>
              </w:rPr>
            </w:pPr>
            <w:r>
              <w:rPr>
                <w:sz w:val="17"/>
                <w:szCs w:val="17"/>
              </w:rPr>
              <w:t xml:space="preserve">4.57</w:t>
            </w:r>
          </w:p>
        </w:tc>
        <w:tc>
          <w:tcPr>
            <w:tcW w:w="1353" w:type="dxa"/>
          </w:tcPr>
          <w:p>
            <w:pPr>
              <w:pStyle w:val="Compact"/>
              <w:suppressLineNumbers/>
              <w:spacing w:before="0" w:after="0" w:line="240" w:lineRule="auto"/>
              <w:jc w:val="right"/>
              <w:rPr>
                <w:sz w:val="17"/>
                <w:szCs w:val="17"/>
              </w:rPr>
            </w:pPr>
            <w:r>
              <w:rPr>
                <w:sz w:val="17"/>
                <w:szCs w:val="17"/>
              </w:rPr>
              <w:t xml:space="preserve">22.92</w:t>
            </w:r>
          </w:p>
        </w:tc>
        <w:tc>
          <w:tcPr>
            <w:tcW w:w="1496" w:type="dxa"/>
          </w:tcPr>
          <w:p>
            <w:pPr>
              <w:pStyle w:val="Compact"/>
              <w:suppressLineNumbers/>
              <w:spacing w:before="0" w:after="0" w:line="240" w:lineRule="auto"/>
              <w:jc w:val="right"/>
              <w:rPr>
                <w:sz w:val="17"/>
                <w:szCs w:val="17"/>
              </w:rPr>
            </w:pPr>
            <w:r>
              <w:rPr>
                <w:sz w:val="17"/>
                <w:szCs w:val="17"/>
              </w:rPr>
              <w:t xml:space="preserve">7.5</w:t>
            </w:r>
          </w:p>
        </w:tc>
        <w:tc>
          <w:tcPr>
            <w:tcW w:w="1140" w:type="dxa"/>
          </w:tcPr>
          <w:p>
            <w:pPr>
              <w:pStyle w:val="Compact"/>
              <w:suppressLineNumbers/>
              <w:spacing w:before="0" w:after="0" w:line="240" w:lineRule="auto"/>
              <w:jc w:val="right"/>
              <w:rPr>
                <w:sz w:val="17"/>
                <w:szCs w:val="17"/>
              </w:rPr>
            </w:pPr>
            <w:r>
              <w:rPr>
                <w:sz w:val="17"/>
                <w:szCs w:val="17"/>
              </w:rPr>
              <w:t xml:space="preserve">+401.4</w:t>
            </w:r>
          </w:p>
        </w:tc>
        <w:tc>
          <w:tcPr>
            <w:tcW w:w="854" w:type="dxa"/>
          </w:tcPr>
          <w:p>
            <w:pPr>
              <w:pStyle w:val="Compact"/>
              <w:suppressLineNumbers/>
              <w:spacing w:before="0" w:after="0" w:line="240" w:lineRule="auto"/>
              <w:jc w:val="right"/>
              <w:rPr>
                <w:sz w:val="17"/>
                <w:szCs w:val="17"/>
              </w:rPr>
            </w:pPr>
            <w:r>
              <w:rPr>
                <w:sz w:val="17"/>
                <w:szCs w:val="17"/>
              </w:rPr>
              <w:t xml:space="preserve">+2.056</w:t>
            </w:r>
          </w:p>
        </w:tc>
        <w:tc>
          <w:tcPr>
            <w:tcW w:w="1210" w:type="dxa"/>
          </w:tcPr>
          <w:p>
            <w:pPr>
              <w:pStyle w:val="Compact"/>
              <w:suppressLineNumbers/>
              <w:spacing w:before="0" w:after="0" w:line="240" w:lineRule="auto"/>
              <w:jc w:val="right"/>
              <w:rPr>
                <w:sz w:val="17"/>
                <w:szCs w:val="17"/>
              </w:rPr>
            </w:pPr>
            <w:r>
              <w:rPr>
                <w:sz w:val="17"/>
                <w:szCs w:val="17"/>
              </w:rPr>
              <w:t xml:space="preserve">2.3 × 10⁻⁶⁴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69.62</w:t>
            </w:r>
          </w:p>
        </w:tc>
        <w:tc>
          <w:tcPr>
            <w:tcW w:w="1353" w:type="dxa"/>
          </w:tcPr>
          <w:p>
            <w:pPr>
              <w:pStyle w:val="Compact"/>
              <w:suppressLineNumbers/>
              <w:spacing w:before="0" w:after="0" w:line="240" w:lineRule="auto"/>
              <w:jc w:val="right"/>
              <w:rPr>
                <w:sz w:val="17"/>
                <w:szCs w:val="17"/>
              </w:rPr>
            </w:pPr>
            <w:r>
              <w:rPr>
                <w:sz w:val="17"/>
                <w:szCs w:val="17"/>
              </w:rPr>
              <w:t xml:space="preserve">67.62</w:t>
            </w:r>
          </w:p>
        </w:tc>
        <w:tc>
          <w:tcPr>
            <w:tcW w:w="1282" w:type="dxa"/>
          </w:tcPr>
          <w:p>
            <w:pPr>
              <w:pStyle w:val="Compact"/>
              <w:suppressLineNumbers/>
              <w:spacing w:before="0" w:after="0" w:line="240" w:lineRule="auto"/>
              <w:jc w:val="right"/>
              <w:rPr>
                <w:sz w:val="17"/>
                <w:szCs w:val="17"/>
              </w:rPr>
            </w:pPr>
            <w:r>
              <w:rPr>
                <w:sz w:val="17"/>
                <w:szCs w:val="17"/>
              </w:rPr>
              <w:t xml:space="preserve">60.75</w:t>
            </w:r>
          </w:p>
        </w:tc>
        <w:tc>
          <w:tcPr>
            <w:tcW w:w="1353" w:type="dxa"/>
          </w:tcPr>
          <w:p>
            <w:pPr>
              <w:pStyle w:val="Compact"/>
              <w:suppressLineNumbers/>
              <w:spacing w:before="0" w:after="0" w:line="240" w:lineRule="auto"/>
              <w:jc w:val="right"/>
              <w:rPr>
                <w:sz w:val="17"/>
                <w:szCs w:val="17"/>
              </w:rPr>
            </w:pPr>
            <w:r>
              <w:rPr>
                <w:sz w:val="17"/>
                <w:szCs w:val="17"/>
              </w:rPr>
              <w:t xml:space="preserve">77.27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+27.2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SERCA (Ca²⁺ re-uptake into ER)</w:t>
            </w:r>
          </w:p>
        </w:tc>
        <w:tc>
          <w:tcPr>
            <w:tcW w:w="1210" w:type="dxa"/>
          </w:tcPr>
          <w:p>
            <w:pPr>
              <w:pStyle w:val="Compact"/>
              <w:suppressLineNumbers/>
              <w:spacing w:before="0" w:after="0" w:line="240" w:lineRule="auto"/>
              <w:jc w:val="left"/>
              <w:rPr>
                <w:sz w:val="17"/>
                <w:szCs w:val="17"/>
              </w:rPr>
            </w:pPr>
            <w:r>
              <w:rPr>
                <w:i/>
                <w:iCs/>
                <w:sz w:val="17"/>
                <w:szCs w:val="17"/>
              </w:rPr>
              <w:t xml:space="preserve">ATP2A1</w:t>
            </w:r>
          </w:p>
        </w:tc>
        <w:tc>
          <w:tcPr>
            <w:tcW w:w="1282" w:type="dxa"/>
          </w:tcPr>
          <w:p>
            <w:pPr>
              <w:pStyle w:val="Compact"/>
              <w:suppressLineNumbers/>
              <w:spacing w:before="0" w:after="0" w:line="240" w:lineRule="auto"/>
              <w:jc w:val="right"/>
              <w:rPr>
                <w:sz w:val="17"/>
                <w:szCs w:val="17"/>
              </w:rPr>
            </w:pPr>
            <w:r>
              <w:rPr>
                <w:sz w:val="17"/>
                <w:szCs w:val="17"/>
              </w:rPr>
              <w:t xml:space="preserve">0.67</w:t>
            </w:r>
          </w:p>
        </w:tc>
        <w:tc>
          <w:tcPr>
            <w:tcW w:w="1353" w:type="dxa"/>
          </w:tcPr>
          <w:p>
            <w:pPr>
              <w:pStyle w:val="Compact"/>
              <w:suppressLineNumbers/>
              <w:spacing w:before="0" w:after="0" w:line="240" w:lineRule="auto"/>
              <w:jc w:val="right"/>
              <w:rPr>
                <w:sz w:val="17"/>
                <w:szCs w:val="17"/>
              </w:rPr>
            </w:pPr>
            <w:r>
              <w:rPr>
                <w:sz w:val="17"/>
                <w:szCs w:val="17"/>
              </w:rPr>
              <w:t xml:space="preserve">0.96</w:t>
            </w:r>
          </w:p>
        </w:tc>
        <w:tc>
          <w:tcPr>
            <w:tcW w:w="1282" w:type="dxa"/>
          </w:tcPr>
          <w:p>
            <w:pPr>
              <w:pStyle w:val="Compact"/>
              <w:suppressLineNumbers/>
              <w:spacing w:before="0" w:after="0" w:line="240" w:lineRule="auto"/>
              <w:jc w:val="right"/>
              <w:rPr>
                <w:sz w:val="17"/>
                <w:szCs w:val="17"/>
              </w:rPr>
            </w:pPr>
            <w:r>
              <w:rPr>
                <w:sz w:val="17"/>
                <w:szCs w:val="17"/>
              </w:rPr>
              <w:t xml:space="preserve">0.58</w:t>
            </w:r>
          </w:p>
        </w:tc>
        <w:tc>
          <w:tcPr>
            <w:tcW w:w="1353" w:type="dxa"/>
          </w:tcPr>
          <w:p>
            <w:pPr>
              <w:pStyle w:val="Compact"/>
              <w:suppressLineNumbers/>
              <w:spacing w:before="0" w:after="0" w:line="240" w:lineRule="auto"/>
              <w:jc w:val="right"/>
              <w:rPr>
                <w:sz w:val="17"/>
                <w:szCs w:val="17"/>
              </w:rPr>
            </w:pPr>
            <w:r>
              <w:rPr>
                <w:sz w:val="17"/>
                <w:szCs w:val="17"/>
              </w:rPr>
              <w:t xml:space="preserve">1.10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+87.8</w:t>
            </w:r>
          </w:p>
        </w:tc>
        <w:tc>
          <w:tcPr>
            <w:tcW w:w="854" w:type="dxa"/>
          </w:tcPr>
          <w:p>
            <w:pPr>
              <w:pStyle w:val="Compact"/>
              <w:suppressLineNumbers/>
              <w:spacing w:before="0" w:after="0" w:line="240" w:lineRule="auto"/>
              <w:jc w:val="right"/>
              <w:rPr>
                <w:sz w:val="17"/>
                <w:szCs w:val="17"/>
              </w:rPr>
            </w:pPr>
            <w:r>
              <w:rPr>
                <w:sz w:val="17"/>
                <w:szCs w:val="17"/>
              </w:rPr>
              <w:t xml:space="preserve">+0.959</w:t>
            </w:r>
          </w:p>
        </w:tc>
        <w:tc>
          <w:tcPr>
            <w:tcW w:w="1210" w:type="dxa"/>
          </w:tcPr>
          <w:p>
            <w:pPr>
              <w:pStyle w:val="Compact"/>
              <w:suppressLineNumbers/>
              <w:spacing w:before="0" w:after="0" w:line="240" w:lineRule="auto"/>
              <w:jc w:val="right"/>
              <w:rPr>
                <w:sz w:val="17"/>
                <w:szCs w:val="17"/>
              </w:rPr>
            </w:pPr>
            <w:r>
              <w:rPr>
                <w:sz w:val="17"/>
                <w:szCs w:val="17"/>
              </w:rPr>
              <w:t xml:space="preserve">0.024</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ATP2A2</w:t>
            </w:r>
          </w:p>
        </w:tc>
        <w:tc>
          <w:tcPr>
            <w:tcW w:w="1282" w:type="dxa"/>
          </w:tcPr>
          <w:p>
            <w:pPr>
              <w:pStyle w:val="Compact"/>
              <w:suppressLineNumbers/>
              <w:spacing w:before="0" w:after="0" w:line="240" w:lineRule="auto"/>
              <w:jc w:val="right"/>
              <w:rPr>
                <w:sz w:val="17"/>
                <w:szCs w:val="17"/>
              </w:rPr>
            </w:pPr>
            <w:r>
              <w:rPr>
                <w:sz w:val="17"/>
                <w:szCs w:val="17"/>
              </w:rPr>
              <w:t xml:space="preserve">162.38</w:t>
            </w:r>
          </w:p>
        </w:tc>
        <w:tc>
          <w:tcPr>
            <w:tcW w:w="1353" w:type="dxa"/>
          </w:tcPr>
          <w:p>
            <w:pPr>
              <w:pStyle w:val="Compact"/>
              <w:suppressLineNumbers/>
              <w:spacing w:before="0" w:after="0" w:line="240" w:lineRule="auto"/>
              <w:jc w:val="right"/>
              <w:rPr>
                <w:sz w:val="17"/>
                <w:szCs w:val="17"/>
              </w:rPr>
            </w:pPr>
            <w:r>
              <w:rPr>
                <w:sz w:val="17"/>
                <w:szCs w:val="17"/>
              </w:rPr>
              <w:t xml:space="preserve">103.10</w:t>
            </w:r>
          </w:p>
        </w:tc>
        <w:tc>
          <w:tcPr>
            <w:tcW w:w="1282" w:type="dxa"/>
          </w:tcPr>
          <w:p>
            <w:pPr>
              <w:pStyle w:val="Compact"/>
              <w:suppressLineNumbers/>
              <w:spacing w:before="0" w:after="0" w:line="240" w:lineRule="auto"/>
              <w:jc w:val="right"/>
              <w:rPr>
                <w:sz w:val="17"/>
                <w:szCs w:val="17"/>
              </w:rPr>
            </w:pPr>
            <w:r>
              <w:rPr>
                <w:sz w:val="17"/>
                <w:szCs w:val="17"/>
              </w:rPr>
              <w:t xml:space="preserve">141.71</w:t>
            </w:r>
          </w:p>
        </w:tc>
        <w:tc>
          <w:tcPr>
            <w:tcW w:w="1353" w:type="dxa"/>
          </w:tcPr>
          <w:p>
            <w:pPr>
              <w:pStyle w:val="Compact"/>
              <w:suppressLineNumbers/>
              <w:spacing w:before="0" w:after="0" w:line="240" w:lineRule="auto"/>
              <w:jc w:val="right"/>
              <w:rPr>
                <w:sz w:val="17"/>
                <w:szCs w:val="17"/>
              </w:rPr>
            </w:pPr>
            <w:r>
              <w:rPr>
                <w:sz w:val="17"/>
                <w:szCs w:val="17"/>
              </w:rPr>
              <w:t xml:space="preserve">117.80</w:t>
            </w:r>
          </w:p>
        </w:tc>
        <w:tc>
          <w:tcPr>
            <w:tcW w:w="1496" w:type="dxa"/>
          </w:tcPr>
          <w:p>
            <w:pPr>
              <w:pStyle w:val="Compact"/>
              <w:suppressLineNumbers/>
              <w:spacing w:before="0" w:after="0" w:line="240" w:lineRule="auto"/>
              <w:jc w:val="right"/>
              <w:rPr>
                <w:sz w:val="17"/>
                <w:szCs w:val="17"/>
              </w:rPr>
            </w:pPr>
            <w:r>
              <w:rPr>
                <w:sz w:val="17"/>
                <w:szCs w:val="17"/>
              </w:rPr>
              <w:t xml:space="preserve">98.1</w:t>
            </w:r>
          </w:p>
        </w:tc>
        <w:tc>
          <w:tcPr>
            <w:tcW w:w="1140" w:type="dxa"/>
          </w:tcPr>
          <w:p>
            <w:pPr>
              <w:pStyle w:val="Compact"/>
              <w:suppressLineNumbers/>
              <w:spacing w:before="0" w:after="0" w:line="240" w:lineRule="auto"/>
              <w:jc w:val="right"/>
              <w:rPr>
                <w:sz w:val="17"/>
                <w:szCs w:val="17"/>
              </w:rPr>
            </w:pPr>
            <w:r>
              <w:rPr>
                <w:sz w:val="17"/>
                <w:szCs w:val="17"/>
              </w:rPr>
              <w:t xml:space="preserve">−16.9</w:t>
            </w:r>
          </w:p>
        </w:tc>
        <w:tc>
          <w:tcPr>
            <w:tcW w:w="854" w:type="dxa"/>
          </w:tcPr>
          <w:p>
            <w:pPr>
              <w:pStyle w:val="Compact"/>
              <w:suppressLineNumbers/>
              <w:spacing w:before="0" w:after="0" w:line="240" w:lineRule="auto"/>
              <w:jc w:val="right"/>
              <w:rPr>
                <w:sz w:val="17"/>
                <w:szCs w:val="17"/>
              </w:rPr>
            </w:pPr>
            <w:r>
              <w:rPr>
                <w:sz w:val="17"/>
                <w:szCs w:val="17"/>
              </w:rPr>
              <w:t xml:space="preserve">−0.247</w:t>
            </w:r>
          </w:p>
        </w:tc>
        <w:tc>
          <w:tcPr>
            <w:tcW w:w="1210" w:type="dxa"/>
          </w:tcPr>
          <w:p>
            <w:pPr>
              <w:pStyle w:val="Compact"/>
              <w:suppressLineNumbers/>
              <w:spacing w:before="0" w:after="0" w:line="240" w:lineRule="auto"/>
              <w:jc w:val="right"/>
              <w:rPr>
                <w:sz w:val="17"/>
                <w:szCs w:val="17"/>
              </w:rPr>
            </w:pPr>
            <w:r>
              <w:rPr>
                <w:sz w:val="17"/>
                <w:szCs w:val="17"/>
              </w:rPr>
              <w:t xml:space="preserve">8.7 × 10⁻⁹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ATP2A3</w:t>
            </w:r>
          </w:p>
        </w:tc>
        <w:tc>
          <w:tcPr>
            <w:tcW w:w="1282" w:type="dxa"/>
          </w:tcPr>
          <w:p>
            <w:pPr>
              <w:pStyle w:val="Compact"/>
              <w:suppressLineNumbers/>
              <w:spacing w:before="0" w:after="0" w:line="240" w:lineRule="auto"/>
              <w:jc w:val="right"/>
              <w:rPr>
                <w:sz w:val="17"/>
                <w:szCs w:val="17"/>
              </w:rPr>
            </w:pPr>
            <w:r>
              <w:rPr>
                <w:sz w:val="17"/>
                <w:szCs w:val="17"/>
              </w:rPr>
              <w:t xml:space="preserve">2.40</w:t>
            </w:r>
          </w:p>
        </w:tc>
        <w:tc>
          <w:tcPr>
            <w:tcW w:w="1353" w:type="dxa"/>
          </w:tcPr>
          <w:p>
            <w:pPr>
              <w:pStyle w:val="Compact"/>
              <w:suppressLineNumbers/>
              <w:spacing w:before="0" w:after="0" w:line="240" w:lineRule="auto"/>
              <w:jc w:val="right"/>
              <w:rPr>
                <w:sz w:val="17"/>
                <w:szCs w:val="17"/>
              </w:rPr>
            </w:pPr>
            <w:r>
              <w:rPr>
                <w:sz w:val="17"/>
                <w:szCs w:val="17"/>
              </w:rPr>
              <w:t xml:space="preserve">7.64</w:t>
            </w:r>
          </w:p>
        </w:tc>
        <w:tc>
          <w:tcPr>
            <w:tcW w:w="1282" w:type="dxa"/>
          </w:tcPr>
          <w:p>
            <w:pPr>
              <w:pStyle w:val="Compact"/>
              <w:suppressLineNumbers/>
              <w:spacing w:before="0" w:after="0" w:line="240" w:lineRule="auto"/>
              <w:jc w:val="right"/>
              <w:rPr>
                <w:sz w:val="17"/>
                <w:szCs w:val="17"/>
              </w:rPr>
            </w:pPr>
            <w:r>
              <w:rPr>
                <w:sz w:val="17"/>
                <w:szCs w:val="17"/>
              </w:rPr>
              <w:t xml:space="preserve">2.09</w:t>
            </w:r>
          </w:p>
        </w:tc>
        <w:tc>
          <w:tcPr>
            <w:tcW w:w="1353" w:type="dxa"/>
          </w:tcPr>
          <w:p>
            <w:pPr>
              <w:pStyle w:val="Compact"/>
              <w:suppressLineNumbers/>
              <w:spacing w:before="0" w:after="0" w:line="240" w:lineRule="auto"/>
              <w:jc w:val="right"/>
              <w:rPr>
                <w:sz w:val="17"/>
                <w:szCs w:val="17"/>
              </w:rPr>
            </w:pPr>
            <w:r>
              <w:rPr>
                <w:sz w:val="17"/>
                <w:szCs w:val="17"/>
              </w:rPr>
              <w:t xml:space="preserve">8.73</w:t>
            </w:r>
          </w:p>
        </w:tc>
        <w:tc>
          <w:tcPr>
            <w:tcW w:w="1496" w:type="dxa"/>
          </w:tcPr>
          <w:p>
            <w:pPr>
              <w:pStyle w:val="Compact"/>
              <w:suppressLineNumbers/>
              <w:spacing w:before="0" w:after="0" w:line="240" w:lineRule="auto"/>
              <w:jc w:val="right"/>
              <w:rPr>
                <w:sz w:val="17"/>
                <w:szCs w:val="17"/>
              </w:rPr>
            </w:pPr>
            <w:r>
              <w:rPr>
                <w:sz w:val="17"/>
                <w:szCs w:val="17"/>
              </w:rPr>
              <w:t xml:space="preserve">1.5</w:t>
            </w:r>
          </w:p>
        </w:tc>
        <w:tc>
          <w:tcPr>
            <w:tcW w:w="1140" w:type="dxa"/>
          </w:tcPr>
          <w:p>
            <w:pPr>
              <w:pStyle w:val="Compact"/>
              <w:suppressLineNumbers/>
              <w:spacing w:before="0" w:after="0" w:line="240" w:lineRule="auto"/>
              <w:jc w:val="right"/>
              <w:rPr>
                <w:sz w:val="17"/>
                <w:szCs w:val="17"/>
              </w:rPr>
            </w:pPr>
            <w:r>
              <w:rPr>
                <w:sz w:val="17"/>
                <w:szCs w:val="17"/>
              </w:rPr>
              <w:t xml:space="preserve">+317.0</w:t>
            </w:r>
          </w:p>
        </w:tc>
        <w:tc>
          <w:tcPr>
            <w:tcW w:w="854" w:type="dxa"/>
          </w:tcPr>
          <w:p>
            <w:pPr>
              <w:pStyle w:val="Compact"/>
              <w:suppressLineNumbers/>
              <w:spacing w:before="0" w:after="0" w:line="240" w:lineRule="auto"/>
              <w:jc w:val="right"/>
              <w:rPr>
                <w:sz w:val="17"/>
                <w:szCs w:val="17"/>
              </w:rPr>
            </w:pPr>
            <w:r>
              <w:rPr>
                <w:sz w:val="17"/>
                <w:szCs w:val="17"/>
              </w:rPr>
              <w:t xml:space="preserve">+1.306</w:t>
            </w:r>
          </w:p>
        </w:tc>
        <w:tc>
          <w:tcPr>
            <w:tcW w:w="1210" w:type="dxa"/>
          </w:tcPr>
          <w:p>
            <w:pPr>
              <w:pStyle w:val="Compact"/>
              <w:suppressLineNumbers/>
              <w:spacing w:before="0" w:after="0" w:line="240" w:lineRule="auto"/>
              <w:jc w:val="right"/>
              <w:rPr>
                <w:sz w:val="17"/>
                <w:szCs w:val="17"/>
              </w:rPr>
            </w:pPr>
            <w:r>
              <w:rPr>
                <w:sz w:val="17"/>
                <w:szCs w:val="17"/>
              </w:rPr>
              <w:t xml:space="preserve">1.4 × 10⁻²⁹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165.45</w:t>
            </w:r>
          </w:p>
        </w:tc>
        <w:tc>
          <w:tcPr>
            <w:tcW w:w="1353" w:type="dxa"/>
          </w:tcPr>
          <w:p>
            <w:pPr>
              <w:pStyle w:val="Compact"/>
              <w:suppressLineNumbers/>
              <w:spacing w:before="0" w:after="0" w:line="240" w:lineRule="auto"/>
              <w:jc w:val="right"/>
              <w:rPr>
                <w:sz w:val="17"/>
                <w:szCs w:val="17"/>
              </w:rPr>
            </w:pPr>
            <w:r>
              <w:rPr>
                <w:sz w:val="17"/>
                <w:szCs w:val="17"/>
              </w:rPr>
              <w:t xml:space="preserve">111.70</w:t>
            </w:r>
          </w:p>
        </w:tc>
        <w:tc>
          <w:tcPr>
            <w:tcW w:w="1282" w:type="dxa"/>
          </w:tcPr>
          <w:p>
            <w:pPr>
              <w:pStyle w:val="Compact"/>
              <w:suppressLineNumbers/>
              <w:spacing w:before="0" w:after="0" w:line="240" w:lineRule="auto"/>
              <w:jc w:val="right"/>
              <w:rPr>
                <w:sz w:val="17"/>
                <w:szCs w:val="17"/>
              </w:rPr>
            </w:pPr>
            <w:r>
              <w:rPr>
                <w:sz w:val="17"/>
                <w:szCs w:val="17"/>
              </w:rPr>
              <w:t xml:space="preserve">144.39</w:t>
            </w:r>
          </w:p>
        </w:tc>
        <w:tc>
          <w:tcPr>
            <w:tcW w:w="1353" w:type="dxa"/>
          </w:tcPr>
          <w:p>
            <w:pPr>
              <w:pStyle w:val="Compact"/>
              <w:suppressLineNumbers/>
              <w:spacing w:before="0" w:after="0" w:line="240" w:lineRule="auto"/>
              <w:jc w:val="right"/>
              <w:rPr>
                <w:sz w:val="17"/>
                <w:szCs w:val="17"/>
              </w:rPr>
            </w:pPr>
            <w:r>
              <w:rPr>
                <w:sz w:val="17"/>
                <w:szCs w:val="17"/>
              </w:rPr>
              <w:t xml:space="preserve">127.63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−11.6</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TRPC</w:t>
            </w:r>
          </w:p>
        </w:tc>
        <w:tc>
          <w:tcPr>
            <w:tcW w:w="1210" w:type="dxa"/>
          </w:tcPr>
          <w:p>
            <w:pPr>
              <w:pStyle w:val="Compact"/>
              <w:suppressLineNumbers/>
              <w:spacing w:before="0" w:after="0" w:line="240" w:lineRule="auto"/>
              <w:jc w:val="left"/>
              <w:rPr>
                <w:sz w:val="17"/>
                <w:szCs w:val="17"/>
              </w:rPr>
            </w:pPr>
            <w:r>
              <w:rPr>
                <w:b/>
                <w:bCs/>
                <w:i/>
                <w:iCs/>
                <w:sz w:val="17"/>
                <w:szCs w:val="17"/>
              </w:rPr>
              <w:t xml:space="preserve">TRPC1</w:t>
            </w:r>
          </w:p>
        </w:tc>
        <w:tc>
          <w:tcPr>
            <w:tcW w:w="1282" w:type="dxa"/>
          </w:tcPr>
          <w:p>
            <w:pPr>
              <w:pStyle w:val="Compact"/>
              <w:suppressLineNumbers/>
              <w:spacing w:before="0" w:after="0" w:line="240" w:lineRule="auto"/>
              <w:jc w:val="right"/>
              <w:rPr>
                <w:sz w:val="17"/>
                <w:szCs w:val="17"/>
              </w:rPr>
            </w:pPr>
            <w:r>
              <w:rPr>
                <w:sz w:val="17"/>
                <w:szCs w:val="17"/>
              </w:rPr>
              <w:t xml:space="preserve">4.34</w:t>
            </w:r>
          </w:p>
        </w:tc>
        <w:tc>
          <w:tcPr>
            <w:tcW w:w="1353" w:type="dxa"/>
          </w:tcPr>
          <w:p>
            <w:pPr>
              <w:pStyle w:val="Compact"/>
              <w:suppressLineNumbers/>
              <w:spacing w:before="0" w:after="0" w:line="240" w:lineRule="auto"/>
              <w:jc w:val="right"/>
              <w:rPr>
                <w:sz w:val="17"/>
                <w:szCs w:val="17"/>
              </w:rPr>
            </w:pPr>
            <w:r>
              <w:rPr>
                <w:sz w:val="17"/>
                <w:szCs w:val="17"/>
              </w:rPr>
              <w:t xml:space="preserve">6.06</w:t>
            </w:r>
          </w:p>
        </w:tc>
        <w:tc>
          <w:tcPr>
            <w:tcW w:w="1282" w:type="dxa"/>
          </w:tcPr>
          <w:p>
            <w:pPr>
              <w:pStyle w:val="Compact"/>
              <w:suppressLineNumbers/>
              <w:spacing w:before="0" w:after="0" w:line="240" w:lineRule="auto"/>
              <w:jc w:val="right"/>
              <w:rPr>
                <w:sz w:val="17"/>
                <w:szCs w:val="17"/>
              </w:rPr>
            </w:pPr>
            <w:r>
              <w:rPr>
                <w:sz w:val="17"/>
                <w:szCs w:val="17"/>
              </w:rPr>
              <w:t xml:space="preserve">3.79</w:t>
            </w:r>
          </w:p>
        </w:tc>
        <w:tc>
          <w:tcPr>
            <w:tcW w:w="1353" w:type="dxa"/>
          </w:tcPr>
          <w:p>
            <w:pPr>
              <w:pStyle w:val="Compact"/>
              <w:suppressLineNumbers/>
              <w:spacing w:before="0" w:after="0" w:line="240" w:lineRule="auto"/>
              <w:jc w:val="right"/>
              <w:rPr>
                <w:sz w:val="17"/>
                <w:szCs w:val="17"/>
              </w:rPr>
            </w:pPr>
            <w:r>
              <w:rPr>
                <w:sz w:val="17"/>
                <w:szCs w:val="17"/>
              </w:rPr>
              <w:t xml:space="preserve">6.92</w:t>
            </w:r>
          </w:p>
        </w:tc>
        <w:tc>
          <w:tcPr>
            <w:tcW w:w="1496" w:type="dxa"/>
          </w:tcPr>
          <w:p>
            <w:pPr>
              <w:pStyle w:val="Compact"/>
              <w:suppressLineNumbers/>
              <w:spacing w:before="0" w:after="0" w:line="240" w:lineRule="auto"/>
              <w:jc w:val="right"/>
              <w:rPr>
                <w:sz w:val="17"/>
                <w:szCs w:val="17"/>
              </w:rPr>
            </w:pPr>
            <w:r>
              <w:rPr>
                <w:sz w:val="17"/>
                <w:szCs w:val="17"/>
              </w:rPr>
              <w:t xml:space="preserve">98.2</w:t>
            </w:r>
          </w:p>
        </w:tc>
        <w:tc>
          <w:tcPr>
            <w:tcW w:w="1140" w:type="dxa"/>
          </w:tcPr>
          <w:p>
            <w:pPr>
              <w:pStyle w:val="Compact"/>
              <w:suppressLineNumbers/>
              <w:spacing w:before="0" w:after="0" w:line="240" w:lineRule="auto"/>
              <w:jc w:val="right"/>
              <w:rPr>
                <w:sz w:val="17"/>
                <w:szCs w:val="17"/>
              </w:rPr>
            </w:pPr>
            <w:r>
              <w:rPr>
                <w:sz w:val="17"/>
                <w:szCs w:val="17"/>
              </w:rPr>
              <w:t xml:space="preserve">+82.9</w:t>
            </w:r>
          </w:p>
        </w:tc>
        <w:tc>
          <w:tcPr>
            <w:tcW w:w="854" w:type="dxa"/>
          </w:tcPr>
          <w:p>
            <w:pPr>
              <w:pStyle w:val="Compact"/>
              <w:suppressLineNumbers/>
              <w:spacing w:before="0" w:after="0" w:line="240" w:lineRule="auto"/>
              <w:jc w:val="right"/>
              <w:rPr>
                <w:sz w:val="17"/>
                <w:szCs w:val="17"/>
              </w:rPr>
            </w:pPr>
            <w:r>
              <w:rPr>
                <w:sz w:val="17"/>
                <w:szCs w:val="17"/>
              </w:rPr>
              <w:t xml:space="preserve">+0.958</w:t>
            </w:r>
          </w:p>
        </w:tc>
        <w:tc>
          <w:tcPr>
            <w:tcW w:w="1210" w:type="dxa"/>
          </w:tcPr>
          <w:p>
            <w:pPr>
              <w:pStyle w:val="Compact"/>
              <w:suppressLineNumbers/>
              <w:spacing w:before="0" w:after="0" w:line="240" w:lineRule="auto"/>
              <w:jc w:val="right"/>
              <w:rPr>
                <w:sz w:val="17"/>
                <w:szCs w:val="17"/>
              </w:rPr>
            </w:pPr>
            <w:r>
              <w:rPr>
                <w:sz w:val="17"/>
                <w:szCs w:val="17"/>
              </w:rPr>
              <w:t xml:space="preserve">1.3 × 10⁻¹²</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TRPC3</w:t>
            </w:r>
          </w:p>
        </w:tc>
        <w:tc>
          <w:tcPr>
            <w:tcW w:w="1282" w:type="dxa"/>
          </w:tcPr>
          <w:p>
            <w:pPr>
              <w:pStyle w:val="Compact"/>
              <w:suppressLineNumbers/>
              <w:spacing w:before="0" w:after="0" w:line="240" w:lineRule="auto"/>
              <w:jc w:val="right"/>
              <w:rPr>
                <w:sz w:val="17"/>
                <w:szCs w:val="17"/>
              </w:rPr>
            </w:pPr>
            <w:r>
              <w:rPr>
                <w:sz w:val="17"/>
                <w:szCs w:val="17"/>
              </w:rPr>
              <w:t xml:space="preserve">0.06</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282" w:type="dxa"/>
          </w:tcPr>
          <w:p>
            <w:pPr>
              <w:pStyle w:val="Compact"/>
              <w:suppressLineNumbers/>
              <w:spacing w:before="0" w:after="0" w:line="240" w:lineRule="auto"/>
              <w:jc w:val="right"/>
              <w:rPr>
                <w:sz w:val="17"/>
                <w:szCs w:val="17"/>
              </w:rPr>
            </w:pPr>
            <w:r>
              <w:rPr>
                <w:sz w:val="17"/>
                <w:szCs w:val="17"/>
              </w:rPr>
              <w:t xml:space="preserve">0.05</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496" w:type="dxa"/>
          </w:tcPr>
          <w:p>
            <w:pPr>
              <w:pStyle w:val="Compact"/>
              <w:suppressLineNumbers/>
              <w:spacing w:before="0" w:after="0" w:line="240" w:lineRule="auto"/>
              <w:jc w:val="right"/>
              <w:rPr>
                <w:sz w:val="17"/>
                <w:szCs w:val="17"/>
              </w:rPr>
            </w:pPr>
            <w:r>
              <w:rPr>
                <w:sz w:val="17"/>
                <w:szCs w:val="17"/>
              </w:rPr>
              <w:t xml:space="preserve">1.3</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−0.938</w:t>
            </w:r>
          </w:p>
        </w:tc>
        <w:tc>
          <w:tcPr>
            <w:tcW w:w="1210" w:type="dxa"/>
          </w:tcPr>
          <w:p>
            <w:pPr>
              <w:pStyle w:val="Compact"/>
              <w:suppressLineNumbers/>
              <w:spacing w:before="0" w:after="0" w:line="240" w:lineRule="auto"/>
              <w:jc w:val="right"/>
              <w:rPr>
                <w:sz w:val="17"/>
                <w:szCs w:val="17"/>
              </w:rPr>
            </w:pPr>
            <w:r>
              <w:rPr>
                <w:sz w:val="17"/>
                <w:szCs w:val="17"/>
              </w:rPr>
              <w:t xml:space="preserve">0.47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TRPC4</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0.0</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TRPC5</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−1.633</w:t>
            </w:r>
          </w:p>
        </w:tc>
        <w:tc>
          <w:tcPr>
            <w:tcW w:w="1210" w:type="dxa"/>
          </w:tcPr>
          <w:p>
            <w:pPr>
              <w:pStyle w:val="Compact"/>
              <w:suppressLineNumbers/>
              <w:spacing w:before="0" w:after="0" w:line="240" w:lineRule="auto"/>
              <w:jc w:val="right"/>
              <w:rPr>
                <w:sz w:val="17"/>
                <w:szCs w:val="17"/>
              </w:rPr>
            </w:pPr>
            <w:r>
              <w:rPr>
                <w:sz w:val="17"/>
                <w:szCs w:val="17"/>
              </w:rPr>
              <w:t xml:space="preserve">0.45</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TRPC6</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0.1</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4.42</w:t>
            </w:r>
          </w:p>
        </w:tc>
        <w:tc>
          <w:tcPr>
            <w:tcW w:w="1353" w:type="dxa"/>
          </w:tcPr>
          <w:p>
            <w:pPr>
              <w:pStyle w:val="Compact"/>
              <w:suppressLineNumbers/>
              <w:spacing w:before="0" w:after="0" w:line="240" w:lineRule="auto"/>
              <w:jc w:val="right"/>
              <w:rPr>
                <w:sz w:val="17"/>
                <w:szCs w:val="17"/>
              </w:rPr>
            </w:pPr>
            <w:r>
              <w:rPr>
                <w:sz w:val="17"/>
                <w:szCs w:val="17"/>
              </w:rPr>
              <w:t xml:space="preserve">6.08</w:t>
            </w:r>
          </w:p>
        </w:tc>
        <w:tc>
          <w:tcPr>
            <w:tcW w:w="1282" w:type="dxa"/>
          </w:tcPr>
          <w:p>
            <w:pPr>
              <w:pStyle w:val="Compact"/>
              <w:suppressLineNumbers/>
              <w:spacing w:before="0" w:after="0" w:line="240" w:lineRule="auto"/>
              <w:jc w:val="right"/>
              <w:rPr>
                <w:sz w:val="17"/>
                <w:szCs w:val="17"/>
              </w:rPr>
            </w:pPr>
            <w:r>
              <w:rPr>
                <w:sz w:val="17"/>
                <w:szCs w:val="17"/>
              </w:rPr>
              <w:t xml:space="preserve">3.86</w:t>
            </w:r>
          </w:p>
        </w:tc>
        <w:tc>
          <w:tcPr>
            <w:tcW w:w="1353" w:type="dxa"/>
          </w:tcPr>
          <w:p>
            <w:pPr>
              <w:pStyle w:val="Compact"/>
              <w:suppressLineNumbers/>
              <w:spacing w:before="0" w:after="0" w:line="240" w:lineRule="auto"/>
              <w:jc w:val="right"/>
              <w:rPr>
                <w:sz w:val="17"/>
                <w:szCs w:val="17"/>
              </w:rPr>
            </w:pPr>
            <w:r>
              <w:rPr>
                <w:sz w:val="17"/>
                <w:szCs w:val="17"/>
              </w:rPr>
              <w:t xml:space="preserve">6.95</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+80.3</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SOCE regulators</w:t>
            </w:r>
          </w:p>
        </w:tc>
        <w:tc>
          <w:tcPr>
            <w:tcW w:w="1210" w:type="dxa"/>
          </w:tcPr>
          <w:p>
            <w:pPr>
              <w:pStyle w:val="Compact"/>
              <w:suppressLineNumbers/>
              <w:spacing w:before="0" w:after="0" w:line="240" w:lineRule="auto"/>
              <w:jc w:val="left"/>
              <w:rPr>
                <w:sz w:val="17"/>
                <w:szCs w:val="17"/>
              </w:rPr>
            </w:pPr>
            <w:r>
              <w:rPr>
                <w:b/>
                <w:bCs/>
                <w:i/>
                <w:iCs/>
                <w:sz w:val="17"/>
                <w:szCs w:val="17"/>
              </w:rPr>
              <w:t xml:space="preserve">SARAF</w:t>
            </w:r>
          </w:p>
        </w:tc>
        <w:tc>
          <w:tcPr>
            <w:tcW w:w="1282" w:type="dxa"/>
          </w:tcPr>
          <w:p>
            <w:pPr>
              <w:pStyle w:val="Compact"/>
              <w:suppressLineNumbers/>
              <w:spacing w:before="0" w:after="0" w:line="240" w:lineRule="auto"/>
              <w:jc w:val="right"/>
              <w:rPr>
                <w:sz w:val="17"/>
                <w:szCs w:val="17"/>
              </w:rPr>
            </w:pPr>
            <w:r>
              <w:rPr>
                <w:sz w:val="17"/>
                <w:szCs w:val="17"/>
              </w:rPr>
              <w:t xml:space="preserve">179.27</w:t>
            </w:r>
          </w:p>
        </w:tc>
        <w:tc>
          <w:tcPr>
            <w:tcW w:w="1353" w:type="dxa"/>
          </w:tcPr>
          <w:p>
            <w:pPr>
              <w:pStyle w:val="Compact"/>
              <w:suppressLineNumbers/>
              <w:spacing w:before="0" w:after="0" w:line="240" w:lineRule="auto"/>
              <w:jc w:val="right"/>
              <w:rPr>
                <w:sz w:val="17"/>
                <w:szCs w:val="17"/>
              </w:rPr>
            </w:pPr>
            <w:r>
              <w:rPr>
                <w:sz w:val="17"/>
                <w:szCs w:val="17"/>
              </w:rPr>
              <w:t xml:space="preserve">191.68</w:t>
            </w:r>
          </w:p>
        </w:tc>
        <w:tc>
          <w:tcPr>
            <w:tcW w:w="1282" w:type="dxa"/>
          </w:tcPr>
          <w:p>
            <w:pPr>
              <w:pStyle w:val="Compact"/>
              <w:suppressLineNumbers/>
              <w:spacing w:before="0" w:after="0" w:line="240" w:lineRule="auto"/>
              <w:jc w:val="right"/>
              <w:rPr>
                <w:sz w:val="17"/>
                <w:szCs w:val="17"/>
              </w:rPr>
            </w:pPr>
            <w:r>
              <w:rPr>
                <w:sz w:val="17"/>
                <w:szCs w:val="17"/>
              </w:rPr>
              <w:t xml:space="preserve">156.45</w:t>
            </w:r>
          </w:p>
        </w:tc>
        <w:tc>
          <w:tcPr>
            <w:tcW w:w="1353" w:type="dxa"/>
          </w:tcPr>
          <w:p>
            <w:pPr>
              <w:pStyle w:val="Compact"/>
              <w:suppressLineNumbers/>
              <w:spacing w:before="0" w:after="0" w:line="240" w:lineRule="auto"/>
              <w:jc w:val="right"/>
              <w:rPr>
                <w:sz w:val="17"/>
                <w:szCs w:val="17"/>
              </w:rPr>
            </w:pPr>
            <w:r>
              <w:rPr>
                <w:sz w:val="17"/>
                <w:szCs w:val="17"/>
              </w:rPr>
              <w:t xml:space="preserve">218.99</w:t>
            </w:r>
          </w:p>
        </w:tc>
        <w:tc>
          <w:tcPr>
            <w:tcW w:w="1496" w:type="dxa"/>
          </w:tcPr>
          <w:p>
            <w:pPr>
              <w:pStyle w:val="Compact"/>
              <w:suppressLineNumbers/>
              <w:spacing w:before="0" w:after="0" w:line="240" w:lineRule="auto"/>
              <w:jc w:val="right"/>
              <w:rPr>
                <w:sz w:val="17"/>
                <w:szCs w:val="17"/>
              </w:rPr>
            </w:pPr>
            <w:r>
              <w:rPr>
                <w:sz w:val="17"/>
                <w:szCs w:val="17"/>
              </w:rPr>
              <w:t xml:space="preserve">82.4</w:t>
            </w:r>
          </w:p>
        </w:tc>
        <w:tc>
          <w:tcPr>
            <w:tcW w:w="1140" w:type="dxa"/>
          </w:tcPr>
          <w:p>
            <w:pPr>
              <w:pStyle w:val="Compact"/>
              <w:suppressLineNumbers/>
              <w:spacing w:before="0" w:after="0" w:line="240" w:lineRule="auto"/>
              <w:jc w:val="right"/>
              <w:rPr>
                <w:sz w:val="17"/>
                <w:szCs w:val="17"/>
              </w:rPr>
            </w:pPr>
            <w:r>
              <w:rPr>
                <w:sz w:val="17"/>
                <w:szCs w:val="17"/>
              </w:rPr>
              <w:t xml:space="preserve">+40.0</w:t>
            </w:r>
          </w:p>
        </w:tc>
        <w:tc>
          <w:tcPr>
            <w:tcW w:w="854" w:type="dxa"/>
          </w:tcPr>
          <w:p>
            <w:pPr>
              <w:pStyle w:val="Compact"/>
              <w:suppressLineNumbers/>
              <w:spacing w:before="0" w:after="0" w:line="240" w:lineRule="auto"/>
              <w:jc w:val="right"/>
              <w:rPr>
                <w:sz w:val="17"/>
                <w:szCs w:val="17"/>
              </w:rPr>
            </w:pPr>
            <w:r>
              <w:rPr>
                <w:sz w:val="17"/>
                <w:szCs w:val="17"/>
              </w:rPr>
              <w:t xml:space="preserve">+0.548</w:t>
            </w:r>
          </w:p>
        </w:tc>
        <w:tc>
          <w:tcPr>
            <w:tcW w:w="1210" w:type="dxa"/>
          </w:tcPr>
          <w:p>
            <w:pPr>
              <w:pStyle w:val="Compact"/>
              <w:suppressLineNumbers/>
              <w:spacing w:before="0" w:after="0" w:line="240" w:lineRule="auto"/>
              <w:jc w:val="right"/>
              <w:rPr>
                <w:sz w:val="17"/>
                <w:szCs w:val="17"/>
              </w:rPr>
            </w:pPr>
            <w:r>
              <w:rPr>
                <w:sz w:val="17"/>
                <w:szCs w:val="17"/>
              </w:rPr>
              <w:t xml:space="preserve">5.9 × 10⁻³⁷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STIMATE</w:t>
            </w:r>
          </w:p>
        </w:tc>
        <w:tc>
          <w:tcPr>
            <w:tcW w:w="1282" w:type="dxa"/>
          </w:tcPr>
          <w:p>
            <w:pPr>
              <w:pStyle w:val="Compact"/>
              <w:suppressLineNumbers/>
              <w:spacing w:before="0" w:after="0" w:line="240" w:lineRule="auto"/>
              <w:jc w:val="right"/>
              <w:rPr>
                <w:sz w:val="17"/>
                <w:szCs w:val="17"/>
              </w:rPr>
            </w:pPr>
            <w:r>
              <w:rPr>
                <w:sz w:val="17"/>
                <w:szCs w:val="17"/>
              </w:rPr>
              <w:t xml:space="preserve">14.31</w:t>
            </w:r>
          </w:p>
        </w:tc>
        <w:tc>
          <w:tcPr>
            <w:tcW w:w="1353" w:type="dxa"/>
          </w:tcPr>
          <w:p>
            <w:pPr>
              <w:pStyle w:val="Compact"/>
              <w:suppressLineNumbers/>
              <w:spacing w:before="0" w:after="0" w:line="240" w:lineRule="auto"/>
              <w:jc w:val="right"/>
              <w:rPr>
                <w:sz w:val="17"/>
                <w:szCs w:val="17"/>
              </w:rPr>
            </w:pPr>
            <w:r>
              <w:rPr>
                <w:sz w:val="17"/>
                <w:szCs w:val="17"/>
              </w:rPr>
              <w:t xml:space="preserve">12.01</w:t>
            </w:r>
          </w:p>
        </w:tc>
        <w:tc>
          <w:tcPr>
            <w:tcW w:w="1282" w:type="dxa"/>
          </w:tcPr>
          <w:p>
            <w:pPr>
              <w:pStyle w:val="Compact"/>
              <w:suppressLineNumbers/>
              <w:spacing w:before="0" w:after="0" w:line="240" w:lineRule="auto"/>
              <w:jc w:val="right"/>
              <w:rPr>
                <w:sz w:val="17"/>
                <w:szCs w:val="17"/>
              </w:rPr>
            </w:pPr>
            <w:r>
              <w:rPr>
                <w:sz w:val="17"/>
                <w:szCs w:val="17"/>
              </w:rPr>
              <w:t xml:space="preserve">12.49</w:t>
            </w:r>
          </w:p>
        </w:tc>
        <w:tc>
          <w:tcPr>
            <w:tcW w:w="1353" w:type="dxa"/>
          </w:tcPr>
          <w:p>
            <w:pPr>
              <w:pStyle w:val="Compact"/>
              <w:suppressLineNumbers/>
              <w:spacing w:before="0" w:after="0" w:line="240" w:lineRule="auto"/>
              <w:jc w:val="right"/>
              <w:rPr>
                <w:sz w:val="17"/>
                <w:szCs w:val="17"/>
              </w:rPr>
            </w:pPr>
            <w:r>
              <w:rPr>
                <w:sz w:val="17"/>
                <w:szCs w:val="17"/>
              </w:rPr>
              <w:t xml:space="preserve">13.72</w:t>
            </w:r>
          </w:p>
        </w:tc>
        <w:tc>
          <w:tcPr>
            <w:tcW w:w="1496" w:type="dxa"/>
          </w:tcPr>
          <w:p>
            <w:pPr>
              <w:pStyle w:val="Compact"/>
              <w:suppressLineNumbers/>
              <w:spacing w:before="0" w:after="0" w:line="240" w:lineRule="auto"/>
              <w:jc w:val="right"/>
              <w:rPr>
                <w:sz w:val="17"/>
                <w:szCs w:val="17"/>
              </w:rPr>
            </w:pPr>
            <w:r>
              <w:rPr>
                <w:sz w:val="17"/>
                <w:szCs w:val="17"/>
              </w:rPr>
              <w:t xml:space="preserve">6.6</w:t>
            </w:r>
          </w:p>
        </w:tc>
        <w:tc>
          <w:tcPr>
            <w:tcW w:w="1140" w:type="dxa"/>
          </w:tcPr>
          <w:p>
            <w:pPr>
              <w:pStyle w:val="Compact"/>
              <w:suppressLineNumbers/>
              <w:spacing w:before="0" w:after="0" w:line="240" w:lineRule="auto"/>
              <w:jc w:val="right"/>
              <w:rPr>
                <w:sz w:val="17"/>
                <w:szCs w:val="17"/>
              </w:rPr>
            </w:pPr>
            <w:r>
              <w:rPr>
                <w:sz w:val="17"/>
                <w:szCs w:val="17"/>
              </w:rPr>
              <w:t xml:space="preserve">+9.9</w:t>
            </w:r>
          </w:p>
        </w:tc>
        <w:tc>
          <w:tcPr>
            <w:tcW w:w="854" w:type="dxa"/>
          </w:tcPr>
          <w:p>
            <w:pPr>
              <w:pStyle w:val="Compact"/>
              <w:suppressLineNumbers/>
              <w:spacing w:before="0" w:after="0" w:line="240" w:lineRule="auto"/>
              <w:jc w:val="right"/>
              <w:rPr>
                <w:sz w:val="17"/>
                <w:szCs w:val="17"/>
              </w:rPr>
            </w:pPr>
            <w:r>
              <w:rPr>
                <w:sz w:val="17"/>
                <w:szCs w:val="17"/>
              </w:rPr>
              <w:t xml:space="preserve">−0.050</w:t>
            </w:r>
          </w:p>
        </w:tc>
        <w:tc>
          <w:tcPr>
            <w:tcW w:w="1210" w:type="dxa"/>
          </w:tcPr>
          <w:p>
            <w:pPr>
              <w:pStyle w:val="Compact"/>
              <w:suppressLineNumbers/>
              <w:spacing w:before="0" w:after="0" w:line="240" w:lineRule="auto"/>
              <w:jc w:val="right"/>
              <w:rPr>
                <w:sz w:val="17"/>
                <w:szCs w:val="17"/>
              </w:rPr>
            </w:pPr>
            <w:r>
              <w:rPr>
                <w:sz w:val="17"/>
                <w:szCs w:val="17"/>
              </w:rPr>
              <w:t xml:space="preserve">0.72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CRACR2A</w:t>
            </w:r>
          </w:p>
        </w:tc>
        <w:tc>
          <w:tcPr>
            <w:tcW w:w="1282" w:type="dxa"/>
          </w:tcPr>
          <w:p>
            <w:pPr>
              <w:pStyle w:val="Compact"/>
              <w:suppressLineNumbers/>
              <w:spacing w:before="0" w:after="0" w:line="240" w:lineRule="auto"/>
              <w:jc w:val="right"/>
              <w:rPr>
                <w:sz w:val="17"/>
                <w:szCs w:val="17"/>
              </w:rPr>
            </w:pPr>
            <w:r>
              <w:rPr>
                <w:sz w:val="17"/>
                <w:szCs w:val="17"/>
              </w:rPr>
              <w:t xml:space="preserve">8.31</w:t>
            </w:r>
          </w:p>
        </w:tc>
        <w:tc>
          <w:tcPr>
            <w:tcW w:w="1353" w:type="dxa"/>
          </w:tcPr>
          <w:p>
            <w:pPr>
              <w:pStyle w:val="Compact"/>
              <w:suppressLineNumbers/>
              <w:spacing w:before="0" w:after="0" w:line="240" w:lineRule="auto"/>
              <w:jc w:val="right"/>
              <w:rPr>
                <w:sz w:val="17"/>
                <w:szCs w:val="17"/>
              </w:rPr>
            </w:pPr>
            <w:r>
              <w:rPr>
                <w:sz w:val="17"/>
                <w:szCs w:val="17"/>
              </w:rPr>
              <w:t xml:space="preserve">4.35</w:t>
            </w:r>
          </w:p>
        </w:tc>
        <w:tc>
          <w:tcPr>
            <w:tcW w:w="1282" w:type="dxa"/>
          </w:tcPr>
          <w:p>
            <w:pPr>
              <w:pStyle w:val="Compact"/>
              <w:suppressLineNumbers/>
              <w:spacing w:before="0" w:after="0" w:line="240" w:lineRule="auto"/>
              <w:jc w:val="right"/>
              <w:rPr>
                <w:sz w:val="17"/>
                <w:szCs w:val="17"/>
              </w:rPr>
            </w:pPr>
            <w:r>
              <w:rPr>
                <w:sz w:val="17"/>
                <w:szCs w:val="17"/>
              </w:rPr>
              <w:t xml:space="preserve">7.25</w:t>
            </w:r>
          </w:p>
        </w:tc>
        <w:tc>
          <w:tcPr>
            <w:tcW w:w="1353" w:type="dxa"/>
          </w:tcPr>
          <w:p>
            <w:pPr>
              <w:pStyle w:val="Compact"/>
              <w:suppressLineNumbers/>
              <w:spacing w:before="0" w:after="0" w:line="240" w:lineRule="auto"/>
              <w:jc w:val="right"/>
              <w:rPr>
                <w:sz w:val="17"/>
                <w:szCs w:val="17"/>
              </w:rPr>
            </w:pPr>
            <w:r>
              <w:rPr>
                <w:sz w:val="17"/>
                <w:szCs w:val="17"/>
              </w:rPr>
              <w:t xml:space="preserve">4.97</w:t>
            </w:r>
          </w:p>
        </w:tc>
        <w:tc>
          <w:tcPr>
            <w:tcW w:w="1496" w:type="dxa"/>
          </w:tcPr>
          <w:p>
            <w:pPr>
              <w:pStyle w:val="Compact"/>
              <w:suppressLineNumbers/>
              <w:spacing w:before="0" w:after="0" w:line="240" w:lineRule="auto"/>
              <w:jc w:val="right"/>
              <w:rPr>
                <w:sz w:val="17"/>
                <w:szCs w:val="17"/>
              </w:rPr>
            </w:pPr>
            <w:r>
              <w:rPr>
                <w:sz w:val="17"/>
                <w:szCs w:val="17"/>
              </w:rPr>
              <w:t xml:space="preserve">3.8</w:t>
            </w:r>
          </w:p>
        </w:tc>
        <w:tc>
          <w:tcPr>
            <w:tcW w:w="1140" w:type="dxa"/>
          </w:tcPr>
          <w:p>
            <w:pPr>
              <w:pStyle w:val="Compact"/>
              <w:suppressLineNumbers/>
              <w:spacing w:before="0" w:after="0" w:line="240" w:lineRule="auto"/>
              <w:jc w:val="right"/>
              <w:rPr>
                <w:sz w:val="17"/>
                <w:szCs w:val="17"/>
              </w:rPr>
            </w:pPr>
            <w:r>
              <w:rPr>
                <w:sz w:val="17"/>
                <w:szCs w:val="17"/>
              </w:rPr>
              <w:t xml:space="preserve">−31.4</w:t>
            </w:r>
          </w:p>
        </w:tc>
        <w:tc>
          <w:tcPr>
            <w:tcW w:w="854" w:type="dxa"/>
          </w:tcPr>
          <w:p>
            <w:pPr>
              <w:pStyle w:val="Compact"/>
              <w:suppressLineNumbers/>
              <w:spacing w:before="0" w:after="0" w:line="240" w:lineRule="auto"/>
              <w:jc w:val="right"/>
              <w:rPr>
                <w:sz w:val="17"/>
                <w:szCs w:val="17"/>
              </w:rPr>
            </w:pPr>
            <w:r>
              <w:rPr>
                <w:sz w:val="17"/>
                <w:szCs w:val="17"/>
              </w:rPr>
              <w:t xml:space="preserve">−0.560</w:t>
            </w:r>
          </w:p>
        </w:tc>
        <w:tc>
          <w:tcPr>
            <w:tcW w:w="1210" w:type="dxa"/>
          </w:tcPr>
          <w:p>
            <w:pPr>
              <w:pStyle w:val="Compact"/>
              <w:suppressLineNumbers/>
              <w:spacing w:before="0" w:after="0" w:line="240" w:lineRule="auto"/>
              <w:jc w:val="right"/>
              <w:rPr>
                <w:sz w:val="17"/>
                <w:szCs w:val="17"/>
              </w:rPr>
            </w:pPr>
            <w:r>
              <w:rPr>
                <w:sz w:val="17"/>
                <w:szCs w:val="17"/>
              </w:rPr>
              <w:t xml:space="preserve">4.3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CRACR2B</w:t>
            </w:r>
          </w:p>
        </w:tc>
        <w:tc>
          <w:tcPr>
            <w:tcW w:w="1282" w:type="dxa"/>
          </w:tcPr>
          <w:p>
            <w:pPr>
              <w:pStyle w:val="Compact"/>
              <w:suppressLineNumbers/>
              <w:spacing w:before="0" w:after="0" w:line="240" w:lineRule="auto"/>
              <w:jc w:val="right"/>
              <w:rPr>
                <w:sz w:val="17"/>
                <w:szCs w:val="17"/>
              </w:rPr>
            </w:pPr>
            <w:r>
              <w:rPr>
                <w:sz w:val="17"/>
                <w:szCs w:val="17"/>
              </w:rPr>
              <w:t xml:space="preserve">1.18</w:t>
            </w:r>
          </w:p>
        </w:tc>
        <w:tc>
          <w:tcPr>
            <w:tcW w:w="1353" w:type="dxa"/>
          </w:tcPr>
          <w:p>
            <w:pPr>
              <w:pStyle w:val="Compact"/>
              <w:suppressLineNumbers/>
              <w:spacing w:before="0" w:after="0" w:line="240" w:lineRule="auto"/>
              <w:jc w:val="right"/>
              <w:rPr>
                <w:sz w:val="17"/>
                <w:szCs w:val="17"/>
              </w:rPr>
            </w:pPr>
            <w:r>
              <w:rPr>
                <w:sz w:val="17"/>
                <w:szCs w:val="17"/>
              </w:rPr>
              <w:t xml:space="preserve">1.55</w:t>
            </w:r>
          </w:p>
        </w:tc>
        <w:tc>
          <w:tcPr>
            <w:tcW w:w="1282" w:type="dxa"/>
          </w:tcPr>
          <w:p>
            <w:pPr>
              <w:pStyle w:val="Compact"/>
              <w:suppressLineNumbers/>
              <w:spacing w:before="0" w:after="0" w:line="240" w:lineRule="auto"/>
              <w:jc w:val="right"/>
              <w:rPr>
                <w:sz w:val="17"/>
                <w:szCs w:val="17"/>
              </w:rPr>
            </w:pPr>
            <w:r>
              <w:rPr>
                <w:sz w:val="17"/>
                <w:szCs w:val="17"/>
              </w:rPr>
              <w:t xml:space="preserve">1.03</w:t>
            </w:r>
          </w:p>
        </w:tc>
        <w:tc>
          <w:tcPr>
            <w:tcW w:w="1353" w:type="dxa"/>
          </w:tcPr>
          <w:p>
            <w:pPr>
              <w:pStyle w:val="Compact"/>
              <w:suppressLineNumbers/>
              <w:spacing w:before="0" w:after="0" w:line="240" w:lineRule="auto"/>
              <w:jc w:val="right"/>
              <w:rPr>
                <w:sz w:val="17"/>
                <w:szCs w:val="17"/>
              </w:rPr>
            </w:pPr>
            <w:r>
              <w:rPr>
                <w:sz w:val="17"/>
                <w:szCs w:val="17"/>
              </w:rPr>
              <w:t xml:space="preserve">1.77</w:t>
            </w:r>
          </w:p>
        </w:tc>
        <w:tc>
          <w:tcPr>
            <w:tcW w:w="1496" w:type="dxa"/>
          </w:tcPr>
          <w:p>
            <w:pPr>
              <w:pStyle w:val="Compact"/>
              <w:suppressLineNumbers/>
              <w:spacing w:before="0" w:after="0" w:line="240" w:lineRule="auto"/>
              <w:jc w:val="right"/>
              <w:rPr>
                <w:sz w:val="17"/>
                <w:szCs w:val="17"/>
              </w:rPr>
            </w:pPr>
            <w:r>
              <w:rPr>
                <w:sz w:val="17"/>
                <w:szCs w:val="17"/>
              </w:rPr>
              <w:t xml:space="preserve">0.5</w:t>
            </w:r>
          </w:p>
        </w:tc>
        <w:tc>
          <w:tcPr>
            <w:tcW w:w="1140" w:type="dxa"/>
          </w:tcPr>
          <w:p>
            <w:pPr>
              <w:pStyle w:val="Compact"/>
              <w:suppressLineNumbers/>
              <w:spacing w:before="0" w:after="0" w:line="240" w:lineRule="auto"/>
              <w:jc w:val="right"/>
              <w:rPr>
                <w:sz w:val="17"/>
                <w:szCs w:val="17"/>
              </w:rPr>
            </w:pPr>
            <w:r>
              <w:rPr>
                <w:sz w:val="17"/>
                <w:szCs w:val="17"/>
              </w:rPr>
              <w:t xml:space="preserve">+72.0</w:t>
            </w:r>
          </w:p>
        </w:tc>
        <w:tc>
          <w:tcPr>
            <w:tcW w:w="854" w:type="dxa"/>
          </w:tcPr>
          <w:p>
            <w:pPr>
              <w:pStyle w:val="Compact"/>
              <w:suppressLineNumbers/>
              <w:spacing w:before="0" w:after="0" w:line="240" w:lineRule="auto"/>
              <w:jc w:val="right"/>
              <w:rPr>
                <w:sz w:val="17"/>
                <w:szCs w:val="17"/>
              </w:rPr>
            </w:pPr>
            <w:r>
              <w:rPr>
                <w:sz w:val="17"/>
                <w:szCs w:val="17"/>
              </w:rPr>
              <w:t xml:space="preserve">+0.925</w:t>
            </w:r>
          </w:p>
        </w:tc>
        <w:tc>
          <w:tcPr>
            <w:tcW w:w="1210" w:type="dxa"/>
          </w:tcPr>
          <w:p>
            <w:pPr>
              <w:pStyle w:val="Compact"/>
              <w:suppressLineNumbers/>
              <w:spacing w:before="0" w:after="0" w:line="240" w:lineRule="auto"/>
              <w:jc w:val="right"/>
              <w:rPr>
                <w:sz w:val="17"/>
                <w:szCs w:val="17"/>
              </w:rPr>
            </w:pPr>
            <w:r>
              <w:rPr>
                <w:sz w:val="17"/>
                <w:szCs w:val="17"/>
              </w:rPr>
              <w:t xml:space="preserve">0.017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CBARP</w:t>
            </w:r>
          </w:p>
        </w:tc>
        <w:tc>
          <w:tcPr>
            <w:tcW w:w="1282" w:type="dxa"/>
          </w:tcPr>
          <w:p>
            <w:pPr>
              <w:pStyle w:val="Compact"/>
              <w:suppressLineNumbers/>
              <w:spacing w:before="0" w:after="0" w:line="240" w:lineRule="auto"/>
              <w:jc w:val="right"/>
              <w:rPr>
                <w:sz w:val="17"/>
                <w:szCs w:val="17"/>
              </w:rPr>
            </w:pPr>
            <w:r>
              <w:rPr>
                <w:sz w:val="17"/>
                <w:szCs w:val="17"/>
              </w:rPr>
              <w:t xml:space="preserve">14.57</w:t>
            </w:r>
          </w:p>
        </w:tc>
        <w:tc>
          <w:tcPr>
            <w:tcW w:w="1353" w:type="dxa"/>
          </w:tcPr>
          <w:p>
            <w:pPr>
              <w:pStyle w:val="Compact"/>
              <w:suppressLineNumbers/>
              <w:spacing w:before="0" w:after="0" w:line="240" w:lineRule="auto"/>
              <w:jc w:val="right"/>
              <w:rPr>
                <w:sz w:val="17"/>
                <w:szCs w:val="17"/>
              </w:rPr>
            </w:pPr>
            <w:r>
              <w:rPr>
                <w:sz w:val="17"/>
                <w:szCs w:val="17"/>
              </w:rPr>
              <w:t xml:space="preserve">6.56</w:t>
            </w:r>
          </w:p>
        </w:tc>
        <w:tc>
          <w:tcPr>
            <w:tcW w:w="1282" w:type="dxa"/>
          </w:tcPr>
          <w:p>
            <w:pPr>
              <w:pStyle w:val="Compact"/>
              <w:suppressLineNumbers/>
              <w:spacing w:before="0" w:after="0" w:line="240" w:lineRule="auto"/>
              <w:jc w:val="right"/>
              <w:rPr>
                <w:sz w:val="17"/>
                <w:szCs w:val="17"/>
              </w:rPr>
            </w:pPr>
            <w:r>
              <w:rPr>
                <w:sz w:val="17"/>
                <w:szCs w:val="17"/>
              </w:rPr>
              <w:t xml:space="preserve">12.73</w:t>
            </w:r>
          </w:p>
        </w:tc>
        <w:tc>
          <w:tcPr>
            <w:tcW w:w="1353" w:type="dxa"/>
          </w:tcPr>
          <w:p>
            <w:pPr>
              <w:pStyle w:val="Compact"/>
              <w:suppressLineNumbers/>
              <w:spacing w:before="0" w:after="0" w:line="240" w:lineRule="auto"/>
              <w:jc w:val="right"/>
              <w:rPr>
                <w:sz w:val="17"/>
                <w:szCs w:val="17"/>
              </w:rPr>
            </w:pPr>
            <w:r>
              <w:rPr>
                <w:sz w:val="17"/>
                <w:szCs w:val="17"/>
              </w:rPr>
              <w:t xml:space="preserve">7.49</w:t>
            </w:r>
          </w:p>
        </w:tc>
        <w:tc>
          <w:tcPr>
            <w:tcW w:w="1496" w:type="dxa"/>
          </w:tcPr>
          <w:p>
            <w:pPr>
              <w:pStyle w:val="Compact"/>
              <w:suppressLineNumbers/>
              <w:spacing w:before="0" w:after="0" w:line="240" w:lineRule="auto"/>
              <w:jc w:val="right"/>
              <w:rPr>
                <w:sz w:val="17"/>
                <w:szCs w:val="17"/>
              </w:rPr>
            </w:pPr>
            <w:r>
              <w:rPr>
                <w:sz w:val="17"/>
                <w:szCs w:val="17"/>
              </w:rPr>
              <w:t xml:space="preserve">6.7</w:t>
            </w:r>
          </w:p>
        </w:tc>
        <w:tc>
          <w:tcPr>
            <w:tcW w:w="1140" w:type="dxa"/>
          </w:tcPr>
          <w:p>
            <w:pPr>
              <w:pStyle w:val="Compact"/>
              <w:suppressLineNumbers/>
              <w:spacing w:before="0" w:after="0" w:line="240" w:lineRule="auto"/>
              <w:jc w:val="right"/>
              <w:rPr>
                <w:sz w:val="17"/>
                <w:szCs w:val="17"/>
              </w:rPr>
            </w:pPr>
            <w:r>
              <w:rPr>
                <w:sz w:val="17"/>
                <w:szCs w:val="17"/>
              </w:rPr>
              <w:t xml:space="preserve">−41.1</w:t>
            </w:r>
          </w:p>
        </w:tc>
        <w:tc>
          <w:tcPr>
            <w:tcW w:w="854" w:type="dxa"/>
          </w:tcPr>
          <w:p>
            <w:pPr>
              <w:pStyle w:val="Compact"/>
              <w:suppressLineNumbers/>
              <w:spacing w:before="0" w:after="0" w:line="240" w:lineRule="auto"/>
              <w:jc w:val="right"/>
              <w:rPr>
                <w:sz w:val="17"/>
                <w:szCs w:val="17"/>
              </w:rPr>
            </w:pPr>
            <w:r>
              <w:rPr>
                <w:sz w:val="17"/>
                <w:szCs w:val="17"/>
              </w:rPr>
              <w:t xml:space="preserve">−1.254</w:t>
            </w:r>
          </w:p>
        </w:tc>
        <w:tc>
          <w:tcPr>
            <w:tcW w:w="1210" w:type="dxa"/>
          </w:tcPr>
          <w:p>
            <w:pPr>
              <w:pStyle w:val="Compact"/>
              <w:suppressLineNumbers/>
              <w:spacing w:before="0" w:after="0" w:line="240" w:lineRule="auto"/>
              <w:jc w:val="right"/>
              <w:rPr>
                <w:sz w:val="17"/>
                <w:szCs w:val="17"/>
              </w:rPr>
            </w:pPr>
            <w:r>
              <w:rPr>
                <w:sz w:val="17"/>
                <w:szCs w:val="17"/>
              </w:rPr>
              <w:t xml:space="preserve">3.1 × 10⁻²⁵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217.64</w:t>
            </w:r>
          </w:p>
        </w:tc>
        <w:tc>
          <w:tcPr>
            <w:tcW w:w="1353" w:type="dxa"/>
          </w:tcPr>
          <w:p>
            <w:pPr>
              <w:pStyle w:val="Compact"/>
              <w:suppressLineNumbers/>
              <w:spacing w:before="0" w:after="0" w:line="240" w:lineRule="auto"/>
              <w:jc w:val="right"/>
              <w:rPr>
                <w:sz w:val="17"/>
                <w:szCs w:val="17"/>
              </w:rPr>
            </w:pPr>
            <w:r>
              <w:rPr>
                <w:sz w:val="17"/>
                <w:szCs w:val="17"/>
              </w:rPr>
              <w:t xml:space="preserve">216.15</w:t>
            </w:r>
          </w:p>
        </w:tc>
        <w:tc>
          <w:tcPr>
            <w:tcW w:w="1282" w:type="dxa"/>
          </w:tcPr>
          <w:p>
            <w:pPr>
              <w:pStyle w:val="Compact"/>
              <w:suppressLineNumbers/>
              <w:spacing w:before="0" w:after="0" w:line="240" w:lineRule="auto"/>
              <w:jc w:val="right"/>
              <w:rPr>
                <w:sz w:val="17"/>
                <w:szCs w:val="17"/>
              </w:rPr>
            </w:pPr>
            <w:r>
              <w:rPr>
                <w:sz w:val="17"/>
                <w:szCs w:val="17"/>
              </w:rPr>
              <w:t xml:space="preserve">189.95</w:t>
            </w:r>
          </w:p>
        </w:tc>
        <w:tc>
          <w:tcPr>
            <w:tcW w:w="1353" w:type="dxa"/>
          </w:tcPr>
          <w:p>
            <w:pPr>
              <w:pStyle w:val="Compact"/>
              <w:suppressLineNumbers/>
              <w:spacing w:before="0" w:after="0" w:line="240" w:lineRule="auto"/>
              <w:jc w:val="right"/>
              <w:rPr>
                <w:sz w:val="17"/>
                <w:szCs w:val="17"/>
              </w:rPr>
            </w:pPr>
            <w:r>
              <w:rPr>
                <w:sz w:val="17"/>
                <w:szCs w:val="17"/>
              </w:rPr>
              <w:t xml:space="preserve">246.96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+30.0</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Mitochondrial Ca²⁺ uptake</w:t>
            </w:r>
          </w:p>
        </w:tc>
        <w:tc>
          <w:tcPr>
            <w:tcW w:w="1210" w:type="dxa"/>
          </w:tcPr>
          <w:p>
            <w:pPr>
              <w:pStyle w:val="Compact"/>
              <w:suppressLineNumbers/>
              <w:spacing w:before="0" w:after="0" w:line="240" w:lineRule="auto"/>
              <w:jc w:val="left"/>
              <w:rPr>
                <w:sz w:val="17"/>
                <w:szCs w:val="17"/>
              </w:rPr>
            </w:pPr>
            <w:r>
              <w:rPr>
                <w:i/>
                <w:iCs/>
                <w:sz w:val="17"/>
                <w:szCs w:val="17"/>
              </w:rPr>
              <w:t xml:space="preserve">MCU</w:t>
            </w:r>
          </w:p>
        </w:tc>
        <w:tc>
          <w:tcPr>
            <w:tcW w:w="1282" w:type="dxa"/>
          </w:tcPr>
          <w:p>
            <w:pPr>
              <w:pStyle w:val="Compact"/>
              <w:suppressLineNumbers/>
              <w:spacing w:before="0" w:after="0" w:line="240" w:lineRule="auto"/>
              <w:jc w:val="right"/>
              <w:rPr>
                <w:sz w:val="17"/>
                <w:szCs w:val="17"/>
              </w:rPr>
            </w:pPr>
            <w:r>
              <w:rPr>
                <w:sz w:val="17"/>
                <w:szCs w:val="17"/>
              </w:rPr>
              <w:t xml:space="preserve">26.79</w:t>
            </w:r>
          </w:p>
        </w:tc>
        <w:tc>
          <w:tcPr>
            <w:tcW w:w="1353" w:type="dxa"/>
          </w:tcPr>
          <w:p>
            <w:pPr>
              <w:pStyle w:val="Compact"/>
              <w:suppressLineNumbers/>
              <w:spacing w:before="0" w:after="0" w:line="240" w:lineRule="auto"/>
              <w:jc w:val="right"/>
              <w:rPr>
                <w:sz w:val="17"/>
                <w:szCs w:val="17"/>
              </w:rPr>
            </w:pPr>
            <w:r>
              <w:rPr>
                <w:sz w:val="17"/>
                <w:szCs w:val="17"/>
              </w:rPr>
              <w:t xml:space="preserve">8.21</w:t>
            </w:r>
          </w:p>
        </w:tc>
        <w:tc>
          <w:tcPr>
            <w:tcW w:w="1282" w:type="dxa"/>
          </w:tcPr>
          <w:p>
            <w:pPr>
              <w:pStyle w:val="Compact"/>
              <w:suppressLineNumbers/>
              <w:spacing w:before="0" w:after="0" w:line="240" w:lineRule="auto"/>
              <w:jc w:val="right"/>
              <w:rPr>
                <w:sz w:val="17"/>
                <w:szCs w:val="17"/>
              </w:rPr>
            </w:pPr>
            <w:r>
              <w:rPr>
                <w:sz w:val="17"/>
                <w:szCs w:val="17"/>
              </w:rPr>
              <w:t xml:space="preserve">23.39</w:t>
            </w:r>
          </w:p>
        </w:tc>
        <w:tc>
          <w:tcPr>
            <w:tcW w:w="1353" w:type="dxa"/>
          </w:tcPr>
          <w:p>
            <w:pPr>
              <w:pStyle w:val="Compact"/>
              <w:suppressLineNumbers/>
              <w:spacing w:before="0" w:after="0" w:line="240" w:lineRule="auto"/>
              <w:jc w:val="right"/>
              <w:rPr>
                <w:sz w:val="17"/>
                <w:szCs w:val="17"/>
              </w:rPr>
            </w:pPr>
            <w:r>
              <w:rPr>
                <w:sz w:val="17"/>
                <w:szCs w:val="17"/>
              </w:rPr>
              <w:t xml:space="preserve">9.38</w:t>
            </w:r>
          </w:p>
        </w:tc>
        <w:tc>
          <w:tcPr>
            <w:tcW w:w="1496" w:type="dxa"/>
          </w:tcPr>
          <w:p>
            <w:pPr>
              <w:pStyle w:val="Compact"/>
              <w:suppressLineNumbers/>
              <w:spacing w:before="0" w:after="0" w:line="240" w:lineRule="auto"/>
              <w:jc w:val="right"/>
              <w:rPr>
                <w:sz w:val="17"/>
                <w:szCs w:val="17"/>
              </w:rPr>
            </w:pPr>
            <w:r>
              <w:rPr>
                <w:sz w:val="17"/>
                <w:szCs w:val="17"/>
              </w:rPr>
              <w:t xml:space="preserve">13.5</w:t>
            </w:r>
          </w:p>
        </w:tc>
        <w:tc>
          <w:tcPr>
            <w:tcW w:w="1140" w:type="dxa"/>
          </w:tcPr>
          <w:p>
            <w:pPr>
              <w:pStyle w:val="Compact"/>
              <w:suppressLineNumbers/>
              <w:spacing w:before="0" w:after="0" w:line="240" w:lineRule="auto"/>
              <w:jc w:val="right"/>
              <w:rPr>
                <w:sz w:val="17"/>
                <w:szCs w:val="17"/>
              </w:rPr>
            </w:pPr>
            <w:r>
              <w:rPr>
                <w:sz w:val="17"/>
                <w:szCs w:val="17"/>
              </w:rPr>
              <w:t xml:space="preserve">−59.9</w:t>
            </w:r>
          </w:p>
        </w:tc>
        <w:tc>
          <w:tcPr>
            <w:tcW w:w="854" w:type="dxa"/>
          </w:tcPr>
          <w:p>
            <w:pPr>
              <w:pStyle w:val="Compact"/>
              <w:suppressLineNumbers/>
              <w:spacing w:before="0" w:after="0" w:line="240" w:lineRule="auto"/>
              <w:jc w:val="right"/>
              <w:rPr>
                <w:sz w:val="17"/>
                <w:szCs w:val="17"/>
              </w:rPr>
            </w:pPr>
            <w:r>
              <w:rPr>
                <w:sz w:val="17"/>
                <w:szCs w:val="17"/>
              </w:rPr>
              <w:t xml:space="preserve">−1.041</w:t>
            </w:r>
          </w:p>
        </w:tc>
        <w:tc>
          <w:tcPr>
            <w:tcW w:w="1210" w:type="dxa"/>
          </w:tcPr>
          <w:p>
            <w:pPr>
              <w:pStyle w:val="Compact"/>
              <w:suppressLineNumbers/>
              <w:spacing w:before="0" w:after="0" w:line="240" w:lineRule="auto"/>
              <w:jc w:val="right"/>
              <w:rPr>
                <w:sz w:val="17"/>
                <w:szCs w:val="17"/>
              </w:rPr>
            </w:pPr>
            <w:r>
              <w:rPr>
                <w:sz w:val="17"/>
                <w:szCs w:val="17"/>
              </w:rPr>
              <w:t xml:space="preserve">2.9 × 10⁻²³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MICU1</w:t>
            </w:r>
          </w:p>
        </w:tc>
        <w:tc>
          <w:tcPr>
            <w:tcW w:w="1282" w:type="dxa"/>
          </w:tcPr>
          <w:p>
            <w:pPr>
              <w:pStyle w:val="Compact"/>
              <w:suppressLineNumbers/>
              <w:spacing w:before="0" w:after="0" w:line="240" w:lineRule="auto"/>
              <w:jc w:val="right"/>
              <w:rPr>
                <w:sz w:val="17"/>
                <w:szCs w:val="17"/>
              </w:rPr>
            </w:pPr>
            <w:r>
              <w:rPr>
                <w:sz w:val="17"/>
                <w:szCs w:val="17"/>
              </w:rPr>
              <w:t xml:space="preserve">70.93</w:t>
            </w:r>
          </w:p>
        </w:tc>
        <w:tc>
          <w:tcPr>
            <w:tcW w:w="1353" w:type="dxa"/>
          </w:tcPr>
          <w:p>
            <w:pPr>
              <w:pStyle w:val="Compact"/>
              <w:suppressLineNumbers/>
              <w:spacing w:before="0" w:after="0" w:line="240" w:lineRule="auto"/>
              <w:jc w:val="right"/>
              <w:rPr>
                <w:sz w:val="17"/>
                <w:szCs w:val="17"/>
              </w:rPr>
            </w:pPr>
            <w:r>
              <w:rPr>
                <w:sz w:val="17"/>
                <w:szCs w:val="17"/>
              </w:rPr>
              <w:t xml:space="preserve">50.30</w:t>
            </w:r>
          </w:p>
        </w:tc>
        <w:tc>
          <w:tcPr>
            <w:tcW w:w="1282" w:type="dxa"/>
          </w:tcPr>
          <w:p>
            <w:pPr>
              <w:pStyle w:val="Compact"/>
              <w:suppressLineNumbers/>
              <w:spacing w:before="0" w:after="0" w:line="240" w:lineRule="auto"/>
              <w:jc w:val="right"/>
              <w:rPr>
                <w:sz w:val="17"/>
                <w:szCs w:val="17"/>
              </w:rPr>
            </w:pPr>
            <w:r>
              <w:rPr>
                <w:sz w:val="17"/>
                <w:szCs w:val="17"/>
              </w:rPr>
              <w:t xml:space="preserve">61.91</w:t>
            </w:r>
          </w:p>
        </w:tc>
        <w:tc>
          <w:tcPr>
            <w:tcW w:w="1353" w:type="dxa"/>
          </w:tcPr>
          <w:p>
            <w:pPr>
              <w:pStyle w:val="Compact"/>
              <w:suppressLineNumbers/>
              <w:spacing w:before="0" w:after="0" w:line="240" w:lineRule="auto"/>
              <w:jc w:val="right"/>
              <w:rPr>
                <w:sz w:val="17"/>
                <w:szCs w:val="17"/>
              </w:rPr>
            </w:pPr>
            <w:r>
              <w:rPr>
                <w:sz w:val="17"/>
                <w:szCs w:val="17"/>
              </w:rPr>
              <w:t xml:space="preserve">57.47</w:t>
            </w:r>
          </w:p>
        </w:tc>
        <w:tc>
          <w:tcPr>
            <w:tcW w:w="1496" w:type="dxa"/>
          </w:tcPr>
          <w:p>
            <w:pPr>
              <w:pStyle w:val="Compact"/>
              <w:suppressLineNumbers/>
              <w:spacing w:before="0" w:after="0" w:line="240" w:lineRule="auto"/>
              <w:jc w:val="right"/>
              <w:rPr>
                <w:sz w:val="17"/>
                <w:szCs w:val="17"/>
              </w:rPr>
            </w:pPr>
            <w:r>
              <w:rPr>
                <w:sz w:val="17"/>
                <w:szCs w:val="17"/>
              </w:rPr>
              <w:t xml:space="preserve">35.7</w:t>
            </w:r>
          </w:p>
        </w:tc>
        <w:tc>
          <w:tcPr>
            <w:tcW w:w="1140" w:type="dxa"/>
          </w:tcPr>
          <w:p>
            <w:pPr>
              <w:pStyle w:val="Compact"/>
              <w:suppressLineNumbers/>
              <w:spacing w:before="0" w:after="0" w:line="240" w:lineRule="auto"/>
              <w:jc w:val="right"/>
              <w:rPr>
                <w:sz w:val="17"/>
                <w:szCs w:val="17"/>
              </w:rPr>
            </w:pPr>
            <w:r>
              <w:rPr>
                <w:sz w:val="17"/>
                <w:szCs w:val="17"/>
              </w:rPr>
              <w:t xml:space="preserve">−7.2</w:t>
            </w:r>
          </w:p>
        </w:tc>
        <w:tc>
          <w:tcPr>
            <w:tcW w:w="854" w:type="dxa"/>
          </w:tcPr>
          <w:p>
            <w:pPr>
              <w:pStyle w:val="Compact"/>
              <w:suppressLineNumbers/>
              <w:spacing w:before="0" w:after="0" w:line="240" w:lineRule="auto"/>
              <w:jc w:val="right"/>
              <w:rPr>
                <w:sz w:val="17"/>
                <w:szCs w:val="17"/>
              </w:rPr>
            </w:pPr>
            <w:r>
              <w:rPr>
                <w:sz w:val="17"/>
                <w:szCs w:val="17"/>
              </w:rPr>
              <w:t xml:space="preserve">−0.069</w:t>
            </w:r>
          </w:p>
        </w:tc>
        <w:tc>
          <w:tcPr>
            <w:tcW w:w="1210" w:type="dxa"/>
          </w:tcPr>
          <w:p>
            <w:pPr>
              <w:pStyle w:val="Compact"/>
              <w:suppressLineNumbers/>
              <w:spacing w:before="0" w:after="0" w:line="240" w:lineRule="auto"/>
              <w:jc w:val="right"/>
              <w:rPr>
                <w:sz w:val="17"/>
                <w:szCs w:val="17"/>
              </w:rPr>
            </w:pPr>
            <w:r>
              <w:rPr>
                <w:sz w:val="17"/>
                <w:szCs w:val="17"/>
              </w:rPr>
              <w:t xml:space="preserve">0.41</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MICU2</w:t>
            </w:r>
          </w:p>
        </w:tc>
        <w:tc>
          <w:tcPr>
            <w:tcW w:w="1282" w:type="dxa"/>
          </w:tcPr>
          <w:p>
            <w:pPr>
              <w:pStyle w:val="Compact"/>
              <w:suppressLineNumbers/>
              <w:spacing w:before="0" w:after="0" w:line="240" w:lineRule="auto"/>
              <w:jc w:val="right"/>
              <w:rPr>
                <w:sz w:val="17"/>
                <w:szCs w:val="17"/>
              </w:rPr>
            </w:pPr>
            <w:r>
              <w:rPr>
                <w:sz w:val="17"/>
                <w:szCs w:val="17"/>
              </w:rPr>
              <w:t xml:space="preserve">29.50</w:t>
            </w:r>
          </w:p>
        </w:tc>
        <w:tc>
          <w:tcPr>
            <w:tcW w:w="1353" w:type="dxa"/>
          </w:tcPr>
          <w:p>
            <w:pPr>
              <w:pStyle w:val="Compact"/>
              <w:suppressLineNumbers/>
              <w:spacing w:before="0" w:after="0" w:line="240" w:lineRule="auto"/>
              <w:jc w:val="right"/>
              <w:rPr>
                <w:sz w:val="17"/>
                <w:szCs w:val="17"/>
              </w:rPr>
            </w:pPr>
            <w:r>
              <w:rPr>
                <w:sz w:val="17"/>
                <w:szCs w:val="17"/>
              </w:rPr>
              <w:t xml:space="preserve">12.21</w:t>
            </w:r>
          </w:p>
        </w:tc>
        <w:tc>
          <w:tcPr>
            <w:tcW w:w="1282" w:type="dxa"/>
          </w:tcPr>
          <w:p>
            <w:pPr>
              <w:pStyle w:val="Compact"/>
              <w:suppressLineNumbers/>
              <w:spacing w:before="0" w:after="0" w:line="240" w:lineRule="auto"/>
              <w:jc w:val="right"/>
              <w:rPr>
                <w:sz w:val="17"/>
                <w:szCs w:val="17"/>
              </w:rPr>
            </w:pPr>
            <w:r>
              <w:rPr>
                <w:sz w:val="17"/>
                <w:szCs w:val="17"/>
              </w:rPr>
              <w:t xml:space="preserve">25.72</w:t>
            </w:r>
          </w:p>
        </w:tc>
        <w:tc>
          <w:tcPr>
            <w:tcW w:w="1353" w:type="dxa"/>
          </w:tcPr>
          <w:p>
            <w:pPr>
              <w:pStyle w:val="Compact"/>
              <w:suppressLineNumbers/>
              <w:spacing w:before="0" w:after="0" w:line="240" w:lineRule="auto"/>
              <w:jc w:val="right"/>
              <w:rPr>
                <w:sz w:val="17"/>
                <w:szCs w:val="17"/>
              </w:rPr>
            </w:pPr>
            <w:r>
              <w:rPr>
                <w:sz w:val="17"/>
                <w:szCs w:val="17"/>
              </w:rPr>
              <w:t xml:space="preserve">13.95</w:t>
            </w:r>
          </w:p>
        </w:tc>
        <w:tc>
          <w:tcPr>
            <w:tcW w:w="1496" w:type="dxa"/>
          </w:tcPr>
          <w:p>
            <w:pPr>
              <w:pStyle w:val="Compact"/>
              <w:suppressLineNumbers/>
              <w:spacing w:before="0" w:after="0" w:line="240" w:lineRule="auto"/>
              <w:jc w:val="right"/>
              <w:rPr>
                <w:sz w:val="17"/>
                <w:szCs w:val="17"/>
              </w:rPr>
            </w:pPr>
            <w:r>
              <w:rPr>
                <w:sz w:val="17"/>
                <w:szCs w:val="17"/>
              </w:rPr>
              <w:t xml:space="preserve">14.8</w:t>
            </w:r>
          </w:p>
        </w:tc>
        <w:tc>
          <w:tcPr>
            <w:tcW w:w="1140" w:type="dxa"/>
          </w:tcPr>
          <w:p>
            <w:pPr>
              <w:pStyle w:val="Compact"/>
              <w:suppressLineNumbers/>
              <w:spacing w:before="0" w:after="0" w:line="240" w:lineRule="auto"/>
              <w:jc w:val="right"/>
              <w:rPr>
                <w:sz w:val="17"/>
                <w:szCs w:val="17"/>
              </w:rPr>
            </w:pPr>
            <w:r>
              <w:rPr>
                <w:sz w:val="17"/>
                <w:szCs w:val="17"/>
              </w:rPr>
              <w:t xml:space="preserve">−45.8</w:t>
            </w:r>
          </w:p>
        </w:tc>
        <w:tc>
          <w:tcPr>
            <w:tcW w:w="854" w:type="dxa"/>
          </w:tcPr>
          <w:p>
            <w:pPr>
              <w:pStyle w:val="Compact"/>
              <w:suppressLineNumbers/>
              <w:spacing w:before="0" w:after="0" w:line="240" w:lineRule="auto"/>
              <w:jc w:val="right"/>
              <w:rPr>
                <w:sz w:val="17"/>
                <w:szCs w:val="17"/>
              </w:rPr>
            </w:pPr>
            <w:r>
              <w:rPr>
                <w:sz w:val="17"/>
                <w:szCs w:val="17"/>
              </w:rPr>
              <w:t xml:space="preserve">−0.566</w:t>
            </w:r>
          </w:p>
        </w:tc>
        <w:tc>
          <w:tcPr>
            <w:tcW w:w="1210" w:type="dxa"/>
          </w:tcPr>
          <w:p>
            <w:pPr>
              <w:pStyle w:val="Compact"/>
              <w:suppressLineNumbers/>
              <w:spacing w:before="0" w:after="0" w:line="240" w:lineRule="auto"/>
              <w:jc w:val="right"/>
              <w:rPr>
                <w:sz w:val="17"/>
                <w:szCs w:val="17"/>
              </w:rPr>
            </w:pPr>
            <w:r>
              <w:rPr>
                <w:sz w:val="17"/>
                <w:szCs w:val="17"/>
              </w:rPr>
              <w:t xml:space="preserve">6.9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MICU3</w:t>
            </w:r>
          </w:p>
        </w:tc>
        <w:tc>
          <w:tcPr>
            <w:tcW w:w="1282" w:type="dxa"/>
          </w:tcPr>
          <w:p>
            <w:pPr>
              <w:pStyle w:val="Compact"/>
              <w:suppressLineNumbers/>
              <w:spacing w:before="0" w:after="0" w:line="240" w:lineRule="auto"/>
              <w:jc w:val="right"/>
              <w:rPr>
                <w:sz w:val="17"/>
                <w:szCs w:val="17"/>
              </w:rPr>
            </w:pPr>
            <w:r>
              <w:rPr>
                <w:sz w:val="17"/>
                <w:szCs w:val="17"/>
              </w:rPr>
              <w:t xml:space="preserve">3.20</w:t>
            </w:r>
          </w:p>
        </w:tc>
        <w:tc>
          <w:tcPr>
            <w:tcW w:w="1353" w:type="dxa"/>
          </w:tcPr>
          <w:p>
            <w:pPr>
              <w:pStyle w:val="Compact"/>
              <w:suppressLineNumbers/>
              <w:spacing w:before="0" w:after="0" w:line="240" w:lineRule="auto"/>
              <w:jc w:val="right"/>
              <w:rPr>
                <w:sz w:val="17"/>
                <w:szCs w:val="17"/>
              </w:rPr>
            </w:pPr>
            <w:r>
              <w:rPr>
                <w:sz w:val="17"/>
                <w:szCs w:val="17"/>
              </w:rPr>
              <w:t xml:space="preserve">2.97</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3.40</w:t>
            </w:r>
          </w:p>
        </w:tc>
        <w:tc>
          <w:tcPr>
            <w:tcW w:w="1496" w:type="dxa"/>
          </w:tcPr>
          <w:p>
            <w:pPr>
              <w:pStyle w:val="Compact"/>
              <w:suppressLineNumbers/>
              <w:spacing w:before="0" w:after="0" w:line="240" w:lineRule="auto"/>
              <w:jc w:val="right"/>
              <w:rPr>
                <w:sz w:val="17"/>
                <w:szCs w:val="17"/>
              </w:rPr>
            </w:pPr>
            <w:r>
              <w:rPr>
                <w:sz w:val="17"/>
                <w:szCs w:val="17"/>
              </w:rPr>
              <w:t xml:space="preserve">1.6</w:t>
            </w:r>
          </w:p>
        </w:tc>
        <w:tc>
          <w:tcPr>
            <w:tcW w:w="1140" w:type="dxa"/>
          </w:tcPr>
          <w:p>
            <w:pPr>
              <w:pStyle w:val="Compact"/>
              <w:suppressLineNumbers/>
              <w:spacing w:before="0" w:after="0" w:line="240" w:lineRule="auto"/>
              <w:jc w:val="right"/>
              <w:rPr>
                <w:sz w:val="17"/>
                <w:szCs w:val="17"/>
              </w:rPr>
            </w:pPr>
            <w:r>
              <w:rPr>
                <w:sz w:val="17"/>
                <w:szCs w:val="17"/>
              </w:rPr>
              <w:t xml:space="preserve">+21.6</w:t>
            </w:r>
          </w:p>
        </w:tc>
        <w:tc>
          <w:tcPr>
            <w:tcW w:w="854" w:type="dxa"/>
          </w:tcPr>
          <w:p>
            <w:pPr>
              <w:pStyle w:val="Compact"/>
              <w:suppressLineNumbers/>
              <w:spacing w:before="0" w:after="0" w:line="240" w:lineRule="auto"/>
              <w:jc w:val="right"/>
              <w:rPr>
                <w:sz w:val="17"/>
                <w:szCs w:val="17"/>
              </w:rPr>
            </w:pPr>
            <w:r>
              <w:rPr>
                <w:sz w:val="17"/>
                <w:szCs w:val="17"/>
              </w:rPr>
              <w:t xml:space="preserve">+0.565</w:t>
            </w:r>
          </w:p>
        </w:tc>
        <w:tc>
          <w:tcPr>
            <w:tcW w:w="1210" w:type="dxa"/>
          </w:tcPr>
          <w:p>
            <w:pPr>
              <w:pStyle w:val="Compact"/>
              <w:suppressLineNumbers/>
              <w:spacing w:before="0" w:after="0" w:line="240" w:lineRule="auto"/>
              <w:jc w:val="right"/>
              <w:rPr>
                <w:sz w:val="17"/>
                <w:szCs w:val="17"/>
              </w:rPr>
            </w:pPr>
            <w:r>
              <w:rPr>
                <w:sz w:val="17"/>
                <w:szCs w:val="17"/>
              </w:rPr>
              <w:t xml:space="preserve">0.028</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MCUR1</w:t>
            </w:r>
          </w:p>
        </w:tc>
        <w:tc>
          <w:tcPr>
            <w:tcW w:w="1282" w:type="dxa"/>
          </w:tcPr>
          <w:p>
            <w:pPr>
              <w:pStyle w:val="Compact"/>
              <w:suppressLineNumbers/>
              <w:spacing w:before="0" w:after="0" w:line="240" w:lineRule="auto"/>
              <w:jc w:val="right"/>
              <w:rPr>
                <w:sz w:val="17"/>
                <w:szCs w:val="17"/>
              </w:rPr>
            </w:pPr>
            <w:r>
              <w:rPr>
                <w:sz w:val="17"/>
                <w:szCs w:val="17"/>
              </w:rPr>
              <w:t xml:space="preserve">49.95</w:t>
            </w:r>
          </w:p>
        </w:tc>
        <w:tc>
          <w:tcPr>
            <w:tcW w:w="1353" w:type="dxa"/>
          </w:tcPr>
          <w:p>
            <w:pPr>
              <w:pStyle w:val="Compact"/>
              <w:suppressLineNumbers/>
              <w:spacing w:before="0" w:after="0" w:line="240" w:lineRule="auto"/>
              <w:jc w:val="right"/>
              <w:rPr>
                <w:sz w:val="17"/>
                <w:szCs w:val="17"/>
              </w:rPr>
            </w:pPr>
            <w:r>
              <w:rPr>
                <w:sz w:val="17"/>
                <w:szCs w:val="17"/>
              </w:rPr>
              <w:t xml:space="preserve">35.18</w:t>
            </w:r>
          </w:p>
        </w:tc>
        <w:tc>
          <w:tcPr>
            <w:tcW w:w="1282" w:type="dxa"/>
          </w:tcPr>
          <w:p>
            <w:pPr>
              <w:pStyle w:val="Compact"/>
              <w:suppressLineNumbers/>
              <w:spacing w:before="0" w:after="0" w:line="240" w:lineRule="auto"/>
              <w:jc w:val="right"/>
              <w:rPr>
                <w:sz w:val="17"/>
                <w:szCs w:val="17"/>
              </w:rPr>
            </w:pPr>
            <w:r>
              <w:rPr>
                <w:sz w:val="17"/>
                <w:szCs w:val="17"/>
              </w:rPr>
              <w:t xml:space="preserve">43.58</w:t>
            </w:r>
          </w:p>
        </w:tc>
        <w:tc>
          <w:tcPr>
            <w:tcW w:w="1353" w:type="dxa"/>
          </w:tcPr>
          <w:p>
            <w:pPr>
              <w:pStyle w:val="Compact"/>
              <w:suppressLineNumbers/>
              <w:spacing w:before="0" w:after="0" w:line="240" w:lineRule="auto"/>
              <w:jc w:val="right"/>
              <w:rPr>
                <w:sz w:val="17"/>
                <w:szCs w:val="17"/>
              </w:rPr>
            </w:pPr>
            <w:r>
              <w:rPr>
                <w:sz w:val="17"/>
                <w:szCs w:val="17"/>
              </w:rPr>
              <w:t xml:space="preserve">40.17</w:t>
            </w:r>
          </w:p>
        </w:tc>
        <w:tc>
          <w:tcPr>
            <w:tcW w:w="1496" w:type="dxa"/>
          </w:tcPr>
          <w:p>
            <w:pPr>
              <w:pStyle w:val="Compact"/>
              <w:suppressLineNumbers/>
              <w:spacing w:before="0" w:after="0" w:line="240" w:lineRule="auto"/>
              <w:jc w:val="right"/>
              <w:rPr>
                <w:sz w:val="17"/>
                <w:szCs w:val="17"/>
              </w:rPr>
            </w:pPr>
            <w:r>
              <w:rPr>
                <w:sz w:val="17"/>
                <w:szCs w:val="17"/>
              </w:rPr>
              <w:t xml:space="preserve">25.1</w:t>
            </w:r>
          </w:p>
        </w:tc>
        <w:tc>
          <w:tcPr>
            <w:tcW w:w="1140" w:type="dxa"/>
          </w:tcPr>
          <w:p>
            <w:pPr>
              <w:pStyle w:val="Compact"/>
              <w:suppressLineNumbers/>
              <w:spacing w:before="0" w:after="0" w:line="240" w:lineRule="auto"/>
              <w:jc w:val="right"/>
              <w:rPr>
                <w:sz w:val="17"/>
                <w:szCs w:val="17"/>
              </w:rPr>
            </w:pPr>
            <w:r>
              <w:rPr>
                <w:sz w:val="17"/>
                <w:szCs w:val="17"/>
              </w:rPr>
              <w:t xml:space="preserve">−7.8</w:t>
            </w:r>
          </w:p>
        </w:tc>
        <w:tc>
          <w:tcPr>
            <w:tcW w:w="854" w:type="dxa"/>
          </w:tcPr>
          <w:p>
            <w:pPr>
              <w:pStyle w:val="Compact"/>
              <w:suppressLineNumbers/>
              <w:spacing w:before="0" w:after="0" w:line="240" w:lineRule="auto"/>
              <w:jc w:val="right"/>
              <w:rPr>
                <w:sz w:val="17"/>
                <w:szCs w:val="17"/>
              </w:rPr>
            </w:pPr>
            <w:r>
              <w:rPr>
                <w:sz w:val="17"/>
                <w:szCs w:val="17"/>
              </w:rPr>
              <w:t xml:space="preserve">+0.044</w:t>
            </w:r>
          </w:p>
        </w:tc>
        <w:tc>
          <w:tcPr>
            <w:tcW w:w="1210" w:type="dxa"/>
          </w:tcPr>
          <w:p>
            <w:pPr>
              <w:pStyle w:val="Compact"/>
              <w:suppressLineNumbers/>
              <w:spacing w:before="0" w:after="0" w:line="240" w:lineRule="auto"/>
              <w:jc w:val="right"/>
              <w:rPr>
                <w:sz w:val="17"/>
                <w:szCs w:val="17"/>
              </w:rPr>
            </w:pPr>
            <w:r>
              <w:rPr>
                <w:sz w:val="17"/>
                <w:szCs w:val="17"/>
              </w:rPr>
              <w:t xml:space="preserve">0.62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MCUB</w:t>
            </w:r>
          </w:p>
        </w:tc>
        <w:tc>
          <w:tcPr>
            <w:tcW w:w="1282" w:type="dxa"/>
          </w:tcPr>
          <w:p>
            <w:pPr>
              <w:pStyle w:val="Compact"/>
              <w:suppressLineNumbers/>
              <w:spacing w:before="0" w:after="0" w:line="240" w:lineRule="auto"/>
              <w:jc w:val="right"/>
              <w:rPr>
                <w:sz w:val="17"/>
                <w:szCs w:val="17"/>
              </w:rPr>
            </w:pPr>
            <w:r>
              <w:rPr>
                <w:sz w:val="17"/>
                <w:szCs w:val="17"/>
              </w:rPr>
              <w:t xml:space="preserve">18.28</w:t>
            </w:r>
          </w:p>
        </w:tc>
        <w:tc>
          <w:tcPr>
            <w:tcW w:w="1353" w:type="dxa"/>
          </w:tcPr>
          <w:p>
            <w:pPr>
              <w:pStyle w:val="Compact"/>
              <w:suppressLineNumbers/>
              <w:spacing w:before="0" w:after="0" w:line="240" w:lineRule="auto"/>
              <w:jc w:val="right"/>
              <w:rPr>
                <w:sz w:val="17"/>
                <w:szCs w:val="17"/>
              </w:rPr>
            </w:pPr>
            <w:r>
              <w:rPr>
                <w:sz w:val="17"/>
                <w:szCs w:val="17"/>
              </w:rPr>
              <w:t xml:space="preserve">4.69</w:t>
            </w:r>
          </w:p>
        </w:tc>
        <w:tc>
          <w:tcPr>
            <w:tcW w:w="1282" w:type="dxa"/>
          </w:tcPr>
          <w:p>
            <w:pPr>
              <w:pStyle w:val="Compact"/>
              <w:suppressLineNumbers/>
              <w:spacing w:before="0" w:after="0" w:line="240" w:lineRule="auto"/>
              <w:jc w:val="right"/>
              <w:rPr>
                <w:sz w:val="17"/>
                <w:szCs w:val="17"/>
              </w:rPr>
            </w:pPr>
            <w:r>
              <w:rPr>
                <w:sz w:val="17"/>
                <w:szCs w:val="17"/>
              </w:rPr>
              <w:t xml:space="preserve">15.96</w:t>
            </w:r>
          </w:p>
        </w:tc>
        <w:tc>
          <w:tcPr>
            <w:tcW w:w="1353" w:type="dxa"/>
          </w:tcPr>
          <w:p>
            <w:pPr>
              <w:pStyle w:val="Compact"/>
              <w:suppressLineNumbers/>
              <w:spacing w:before="0" w:after="0" w:line="240" w:lineRule="auto"/>
              <w:jc w:val="right"/>
              <w:rPr>
                <w:sz w:val="17"/>
                <w:szCs w:val="17"/>
              </w:rPr>
            </w:pPr>
            <w:r>
              <w:rPr>
                <w:sz w:val="17"/>
                <w:szCs w:val="17"/>
              </w:rPr>
              <w:t xml:space="preserve">5.36</w:t>
            </w:r>
          </w:p>
        </w:tc>
        <w:tc>
          <w:tcPr>
            <w:tcW w:w="1496" w:type="dxa"/>
          </w:tcPr>
          <w:p>
            <w:pPr>
              <w:pStyle w:val="Compact"/>
              <w:suppressLineNumbers/>
              <w:spacing w:before="0" w:after="0" w:line="240" w:lineRule="auto"/>
              <w:jc w:val="right"/>
              <w:rPr>
                <w:sz w:val="17"/>
                <w:szCs w:val="17"/>
              </w:rPr>
            </w:pPr>
            <w:r>
              <w:rPr>
                <w:sz w:val="17"/>
                <w:szCs w:val="17"/>
              </w:rPr>
              <w:t xml:space="preserve">9.2</w:t>
            </w:r>
          </w:p>
        </w:tc>
        <w:tc>
          <w:tcPr>
            <w:tcW w:w="1140" w:type="dxa"/>
          </w:tcPr>
          <w:p>
            <w:pPr>
              <w:pStyle w:val="Compact"/>
              <w:suppressLineNumbers/>
              <w:spacing w:before="0" w:after="0" w:line="240" w:lineRule="auto"/>
              <w:jc w:val="right"/>
              <w:rPr>
                <w:sz w:val="17"/>
                <w:szCs w:val="17"/>
              </w:rPr>
            </w:pPr>
            <w:r>
              <w:rPr>
                <w:sz w:val="17"/>
                <w:szCs w:val="17"/>
              </w:rPr>
              <w:t xml:space="preserve">−66.4</w:t>
            </w:r>
          </w:p>
        </w:tc>
        <w:tc>
          <w:tcPr>
            <w:tcW w:w="854" w:type="dxa"/>
          </w:tcPr>
          <w:p>
            <w:pPr>
              <w:pStyle w:val="Compact"/>
              <w:suppressLineNumbers/>
              <w:spacing w:before="0" w:after="0" w:line="240" w:lineRule="auto"/>
              <w:jc w:val="right"/>
              <w:rPr>
                <w:sz w:val="17"/>
                <w:szCs w:val="17"/>
              </w:rPr>
            </w:pPr>
            <w:r>
              <w:rPr>
                <w:sz w:val="17"/>
                <w:szCs w:val="17"/>
              </w:rPr>
              <w:t xml:space="preserve">−1.655</w:t>
            </w:r>
          </w:p>
        </w:tc>
        <w:tc>
          <w:tcPr>
            <w:tcW w:w="1210" w:type="dxa"/>
          </w:tcPr>
          <w:p>
            <w:pPr>
              <w:pStyle w:val="Compact"/>
              <w:suppressLineNumbers/>
              <w:spacing w:before="0" w:after="0" w:line="240" w:lineRule="auto"/>
              <w:jc w:val="right"/>
              <w:rPr>
                <w:sz w:val="17"/>
                <w:szCs w:val="17"/>
              </w:rPr>
            </w:pPr>
            <w:r>
              <w:rPr>
                <w:sz w:val="17"/>
                <w:szCs w:val="17"/>
              </w:rPr>
              <w:t xml:space="preserve">1.5 × 10⁻³⁰</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198.64</w:t>
            </w:r>
          </w:p>
        </w:tc>
        <w:tc>
          <w:tcPr>
            <w:tcW w:w="1353" w:type="dxa"/>
          </w:tcPr>
          <w:p>
            <w:pPr>
              <w:pStyle w:val="Compact"/>
              <w:suppressLineNumbers/>
              <w:spacing w:before="0" w:after="0" w:line="240" w:lineRule="auto"/>
              <w:jc w:val="right"/>
              <w:rPr>
                <w:sz w:val="17"/>
                <w:szCs w:val="17"/>
              </w:rPr>
            </w:pPr>
            <w:r>
              <w:rPr>
                <w:sz w:val="17"/>
                <w:szCs w:val="17"/>
              </w:rPr>
              <w:t xml:space="preserve">113.57</w:t>
            </w:r>
          </w:p>
        </w:tc>
        <w:tc>
          <w:tcPr>
            <w:tcW w:w="1282" w:type="dxa"/>
          </w:tcPr>
          <w:p>
            <w:pPr>
              <w:pStyle w:val="Compact"/>
              <w:suppressLineNumbers/>
              <w:spacing w:before="0" w:after="0" w:line="240" w:lineRule="auto"/>
              <w:jc w:val="right"/>
              <w:rPr>
                <w:sz w:val="17"/>
                <w:szCs w:val="17"/>
              </w:rPr>
            </w:pPr>
            <w:r>
              <w:rPr>
                <w:sz w:val="17"/>
                <w:szCs w:val="17"/>
              </w:rPr>
              <w:t xml:space="preserve">173.34</w:t>
            </w:r>
          </w:p>
        </w:tc>
        <w:tc>
          <w:tcPr>
            <w:tcW w:w="1353" w:type="dxa"/>
          </w:tcPr>
          <w:p>
            <w:pPr>
              <w:pStyle w:val="Compact"/>
              <w:suppressLineNumbers/>
              <w:spacing w:before="0" w:after="0" w:line="240" w:lineRule="auto"/>
              <w:jc w:val="right"/>
              <w:rPr>
                <w:sz w:val="17"/>
                <w:szCs w:val="17"/>
              </w:rPr>
            </w:pPr>
            <w:r>
              <w:rPr>
                <w:sz w:val="17"/>
                <w:szCs w:val="17"/>
              </w:rPr>
              <w:t xml:space="preserve">129.73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PMCA (Ca²⁺ extrusion)</w:t>
            </w:r>
          </w:p>
        </w:tc>
        <w:tc>
          <w:tcPr>
            <w:tcW w:w="1210" w:type="dxa"/>
          </w:tcPr>
          <w:p>
            <w:pPr>
              <w:pStyle w:val="Compact"/>
              <w:suppressLineNumbers/>
              <w:spacing w:before="0" w:after="0" w:line="240" w:lineRule="auto"/>
              <w:jc w:val="left"/>
              <w:rPr>
                <w:sz w:val="17"/>
                <w:szCs w:val="17"/>
              </w:rPr>
            </w:pPr>
            <w:r>
              <w:rPr>
                <w:b/>
                <w:bCs/>
                <w:i/>
                <w:iCs/>
                <w:sz w:val="17"/>
                <w:szCs w:val="17"/>
              </w:rPr>
              <w:t xml:space="preserve">ATP2B1</w:t>
            </w:r>
          </w:p>
        </w:tc>
        <w:tc>
          <w:tcPr>
            <w:tcW w:w="1282" w:type="dxa"/>
          </w:tcPr>
          <w:p>
            <w:pPr>
              <w:pStyle w:val="Compact"/>
              <w:suppressLineNumbers/>
              <w:spacing w:before="0" w:after="0" w:line="240" w:lineRule="auto"/>
              <w:jc w:val="right"/>
              <w:rPr>
                <w:sz w:val="17"/>
                <w:szCs w:val="17"/>
              </w:rPr>
            </w:pPr>
            <w:r>
              <w:rPr>
                <w:sz w:val="17"/>
                <w:szCs w:val="17"/>
              </w:rPr>
              <w:t xml:space="preserve">20.26</w:t>
            </w:r>
          </w:p>
        </w:tc>
        <w:tc>
          <w:tcPr>
            <w:tcW w:w="1353" w:type="dxa"/>
          </w:tcPr>
          <w:p>
            <w:pPr>
              <w:pStyle w:val="Compact"/>
              <w:suppressLineNumbers/>
              <w:spacing w:before="0" w:after="0" w:line="240" w:lineRule="auto"/>
              <w:jc w:val="right"/>
              <w:rPr>
                <w:sz w:val="17"/>
                <w:szCs w:val="17"/>
              </w:rPr>
            </w:pPr>
            <w:r>
              <w:rPr>
                <w:sz w:val="17"/>
                <w:szCs w:val="17"/>
              </w:rPr>
              <w:t xml:space="preserve">18.77</w:t>
            </w:r>
          </w:p>
        </w:tc>
        <w:tc>
          <w:tcPr>
            <w:tcW w:w="1282" w:type="dxa"/>
          </w:tcPr>
          <w:p>
            <w:pPr>
              <w:pStyle w:val="Compact"/>
              <w:suppressLineNumbers/>
              <w:spacing w:before="0" w:after="0" w:line="240" w:lineRule="auto"/>
              <w:jc w:val="right"/>
              <w:rPr>
                <w:sz w:val="17"/>
                <w:szCs w:val="17"/>
              </w:rPr>
            </w:pPr>
            <w:r>
              <w:rPr>
                <w:sz w:val="17"/>
                <w:szCs w:val="17"/>
              </w:rPr>
              <w:t xml:space="preserve">17.70</w:t>
            </w:r>
          </w:p>
        </w:tc>
        <w:tc>
          <w:tcPr>
            <w:tcW w:w="1353" w:type="dxa"/>
          </w:tcPr>
          <w:p>
            <w:pPr>
              <w:pStyle w:val="Compact"/>
              <w:suppressLineNumbers/>
              <w:spacing w:before="0" w:after="0" w:line="240" w:lineRule="auto"/>
              <w:jc w:val="right"/>
              <w:rPr>
                <w:sz w:val="17"/>
                <w:szCs w:val="17"/>
              </w:rPr>
            </w:pPr>
            <w:r>
              <w:rPr>
                <w:sz w:val="17"/>
                <w:szCs w:val="17"/>
              </w:rPr>
              <w:t xml:space="preserve">21.45</w:t>
            </w:r>
          </w:p>
        </w:tc>
        <w:tc>
          <w:tcPr>
            <w:tcW w:w="1496" w:type="dxa"/>
          </w:tcPr>
          <w:p>
            <w:pPr>
              <w:pStyle w:val="Compact"/>
              <w:suppressLineNumbers/>
              <w:spacing w:before="0" w:after="0" w:line="240" w:lineRule="auto"/>
              <w:jc w:val="right"/>
              <w:rPr>
                <w:sz w:val="17"/>
                <w:szCs w:val="17"/>
              </w:rPr>
            </w:pPr>
            <w:r>
              <w:rPr>
                <w:sz w:val="17"/>
                <w:szCs w:val="17"/>
              </w:rPr>
              <w:t xml:space="preserve">59.0</w:t>
            </w:r>
          </w:p>
        </w:tc>
        <w:tc>
          <w:tcPr>
            <w:tcW w:w="1140" w:type="dxa"/>
          </w:tcPr>
          <w:p>
            <w:pPr>
              <w:pStyle w:val="Compact"/>
              <w:suppressLineNumbers/>
              <w:spacing w:before="0" w:after="0" w:line="240" w:lineRule="auto"/>
              <w:jc w:val="right"/>
              <w:rPr>
                <w:sz w:val="17"/>
                <w:szCs w:val="17"/>
              </w:rPr>
            </w:pPr>
            <w:r>
              <w:rPr>
                <w:sz w:val="17"/>
                <w:szCs w:val="17"/>
              </w:rPr>
              <w:t xml:space="preserve">+21.2</w:t>
            </w:r>
          </w:p>
        </w:tc>
        <w:tc>
          <w:tcPr>
            <w:tcW w:w="854" w:type="dxa"/>
          </w:tcPr>
          <w:p>
            <w:pPr>
              <w:pStyle w:val="Compact"/>
              <w:suppressLineNumbers/>
              <w:spacing w:before="0" w:after="0" w:line="240" w:lineRule="auto"/>
              <w:jc w:val="right"/>
              <w:rPr>
                <w:sz w:val="17"/>
                <w:szCs w:val="17"/>
              </w:rPr>
            </w:pPr>
            <w:r>
              <w:rPr>
                <w:sz w:val="17"/>
                <w:szCs w:val="17"/>
              </w:rPr>
              <w:t xml:space="preserve">+0.290</w:t>
            </w:r>
          </w:p>
        </w:tc>
        <w:tc>
          <w:tcPr>
            <w:tcW w:w="1210" w:type="dxa"/>
          </w:tcPr>
          <w:p>
            <w:pPr>
              <w:pStyle w:val="Compact"/>
              <w:suppressLineNumbers/>
              <w:spacing w:before="0" w:after="0" w:line="240" w:lineRule="auto"/>
              <w:jc w:val="right"/>
              <w:rPr>
                <w:sz w:val="17"/>
                <w:szCs w:val="17"/>
              </w:rPr>
            </w:pPr>
            <w:r>
              <w:rPr>
                <w:sz w:val="17"/>
                <w:szCs w:val="17"/>
              </w:rPr>
              <w:t xml:space="preserve">2.8 × 10⁻⁵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ATP2B2</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6.54</w:t>
            </w:r>
          </w:p>
        </w:tc>
        <w:tc>
          <w:tcPr>
            <w:tcW w:w="1282" w:type="dxa"/>
          </w:tcPr>
          <w:p>
            <w:pPr>
              <w:pStyle w:val="Compact"/>
              <w:suppressLineNumbers/>
              <w:spacing w:before="0" w:after="0" w:line="240" w:lineRule="auto"/>
              <w:jc w:val="right"/>
              <w:rPr>
                <w:sz w:val="17"/>
                <w:szCs w:val="17"/>
              </w:rPr>
            </w:pPr>
            <w:r>
              <w:rPr>
                <w:sz w:val="17"/>
                <w:szCs w:val="17"/>
              </w:rPr>
              <w:t xml:space="preserve">2.43</w:t>
            </w:r>
          </w:p>
        </w:tc>
        <w:tc>
          <w:tcPr>
            <w:tcW w:w="1353" w:type="dxa"/>
          </w:tcPr>
          <w:p>
            <w:pPr>
              <w:pStyle w:val="Compact"/>
              <w:suppressLineNumbers/>
              <w:spacing w:before="0" w:after="0" w:line="240" w:lineRule="auto"/>
              <w:jc w:val="right"/>
              <w:rPr>
                <w:sz w:val="17"/>
                <w:szCs w:val="17"/>
              </w:rPr>
            </w:pPr>
            <w:r>
              <w:rPr>
                <w:sz w:val="17"/>
                <w:szCs w:val="17"/>
              </w:rPr>
              <w:t xml:space="preserve">7.48</w:t>
            </w:r>
          </w:p>
        </w:tc>
        <w:tc>
          <w:tcPr>
            <w:tcW w:w="1496" w:type="dxa"/>
          </w:tcPr>
          <w:p>
            <w:pPr>
              <w:pStyle w:val="Compact"/>
              <w:suppressLineNumbers/>
              <w:spacing w:before="0" w:after="0" w:line="240" w:lineRule="auto"/>
              <w:jc w:val="right"/>
              <w:rPr>
                <w:sz w:val="17"/>
                <w:szCs w:val="17"/>
              </w:rPr>
            </w:pPr>
            <w:r>
              <w:rPr>
                <w:sz w:val="17"/>
                <w:szCs w:val="17"/>
              </w:rPr>
              <w:t xml:space="preserve">8.1</w:t>
            </w:r>
          </w:p>
        </w:tc>
        <w:tc>
          <w:tcPr>
            <w:tcW w:w="1140" w:type="dxa"/>
          </w:tcPr>
          <w:p>
            <w:pPr>
              <w:pStyle w:val="Compact"/>
              <w:suppressLineNumbers/>
              <w:spacing w:before="0" w:after="0" w:line="240" w:lineRule="auto"/>
              <w:jc w:val="right"/>
              <w:rPr>
                <w:sz w:val="17"/>
                <w:szCs w:val="17"/>
              </w:rPr>
            </w:pPr>
            <w:r>
              <w:rPr>
                <w:sz w:val="17"/>
                <w:szCs w:val="17"/>
              </w:rPr>
              <w:t xml:space="preserve">+207.3</w:t>
            </w:r>
          </w:p>
        </w:tc>
        <w:tc>
          <w:tcPr>
            <w:tcW w:w="854" w:type="dxa"/>
          </w:tcPr>
          <w:p>
            <w:pPr>
              <w:pStyle w:val="Compact"/>
              <w:suppressLineNumbers/>
              <w:spacing w:before="0" w:after="0" w:line="240" w:lineRule="auto"/>
              <w:jc w:val="right"/>
              <w:rPr>
                <w:sz w:val="17"/>
                <w:szCs w:val="17"/>
              </w:rPr>
            </w:pPr>
            <w:r>
              <w:rPr>
                <w:sz w:val="17"/>
                <w:szCs w:val="17"/>
              </w:rPr>
              <w:t xml:space="preserve">+1.346</w:t>
            </w:r>
          </w:p>
        </w:tc>
        <w:tc>
          <w:tcPr>
            <w:tcW w:w="1210" w:type="dxa"/>
          </w:tcPr>
          <w:p>
            <w:pPr>
              <w:pStyle w:val="Compact"/>
              <w:suppressLineNumbers/>
              <w:spacing w:before="0" w:after="0" w:line="240" w:lineRule="auto"/>
              <w:jc w:val="right"/>
              <w:rPr>
                <w:sz w:val="17"/>
                <w:szCs w:val="17"/>
              </w:rPr>
            </w:pPr>
            <w:r>
              <w:rPr>
                <w:sz w:val="17"/>
                <w:szCs w:val="17"/>
              </w:rPr>
              <w:t xml:space="preserve">8.6 × 10⁻³⁹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ATP2B3</w:t>
            </w:r>
          </w:p>
        </w:tc>
        <w:tc>
          <w:tcPr>
            <w:tcW w:w="1282" w:type="dxa"/>
          </w:tcPr>
          <w:p>
            <w:pPr>
              <w:pStyle w:val="Compact"/>
              <w:suppressLineNumbers/>
              <w:spacing w:before="0" w:after="0" w:line="240" w:lineRule="auto"/>
              <w:jc w:val="right"/>
              <w:rPr>
                <w:sz w:val="17"/>
                <w:szCs w:val="17"/>
              </w:rPr>
            </w:pPr>
            <w:r>
              <w:rPr>
                <w:sz w:val="17"/>
                <w:szCs w:val="17"/>
              </w:rPr>
              <w:t xml:space="preserve">0.31</w:t>
            </w:r>
          </w:p>
        </w:tc>
        <w:tc>
          <w:tcPr>
            <w:tcW w:w="1353" w:type="dxa"/>
          </w:tcPr>
          <w:p>
            <w:pPr>
              <w:pStyle w:val="Compact"/>
              <w:suppressLineNumbers/>
              <w:spacing w:before="0" w:after="0" w:line="240" w:lineRule="auto"/>
              <w:jc w:val="right"/>
              <w:rPr>
                <w:sz w:val="17"/>
                <w:szCs w:val="17"/>
              </w:rPr>
            </w:pPr>
            <w:r>
              <w:rPr>
                <w:sz w:val="17"/>
                <w:szCs w:val="17"/>
              </w:rPr>
              <w:t xml:space="preserve">0.97</w:t>
            </w:r>
          </w:p>
        </w:tc>
        <w:tc>
          <w:tcPr>
            <w:tcW w:w="1282" w:type="dxa"/>
          </w:tcPr>
          <w:p>
            <w:pPr>
              <w:pStyle w:val="Compact"/>
              <w:suppressLineNumbers/>
              <w:spacing w:before="0" w:after="0" w:line="240" w:lineRule="auto"/>
              <w:jc w:val="right"/>
              <w:rPr>
                <w:sz w:val="17"/>
                <w:szCs w:val="17"/>
              </w:rPr>
            </w:pPr>
            <w:r>
              <w:rPr>
                <w:sz w:val="17"/>
                <w:szCs w:val="17"/>
              </w:rPr>
              <w:t xml:space="preserve">0.27</w:t>
            </w:r>
          </w:p>
        </w:tc>
        <w:tc>
          <w:tcPr>
            <w:tcW w:w="1353" w:type="dxa"/>
          </w:tcPr>
          <w:p>
            <w:pPr>
              <w:pStyle w:val="Compact"/>
              <w:suppressLineNumbers/>
              <w:spacing w:before="0" w:after="0" w:line="240" w:lineRule="auto"/>
              <w:jc w:val="right"/>
              <w:rPr>
                <w:sz w:val="17"/>
                <w:szCs w:val="17"/>
              </w:rPr>
            </w:pPr>
            <w:r>
              <w:rPr>
                <w:sz w:val="17"/>
                <w:szCs w:val="17"/>
              </w:rPr>
              <w:t xml:space="preserve">1.11</w:t>
            </w:r>
          </w:p>
        </w:tc>
        <w:tc>
          <w:tcPr>
            <w:tcW w:w="1496" w:type="dxa"/>
          </w:tcPr>
          <w:p>
            <w:pPr>
              <w:pStyle w:val="Compact"/>
              <w:suppressLineNumbers/>
              <w:spacing w:before="0" w:after="0" w:line="240" w:lineRule="auto"/>
              <w:jc w:val="right"/>
              <w:rPr>
                <w:sz w:val="17"/>
                <w:szCs w:val="17"/>
              </w:rPr>
            </w:pPr>
            <w:r>
              <w:rPr>
                <w:sz w:val="17"/>
                <w:szCs w:val="17"/>
              </w:rPr>
              <w:t xml:space="preserve">0.9</w:t>
            </w:r>
          </w:p>
        </w:tc>
        <w:tc>
          <w:tcPr>
            <w:tcW w:w="1140" w:type="dxa"/>
          </w:tcPr>
          <w:p>
            <w:pPr>
              <w:pStyle w:val="Compact"/>
              <w:suppressLineNumbers/>
              <w:spacing w:before="0" w:after="0" w:line="240" w:lineRule="auto"/>
              <w:jc w:val="right"/>
              <w:rPr>
                <w:sz w:val="17"/>
                <w:szCs w:val="17"/>
              </w:rPr>
            </w:pPr>
            <w:r>
              <w:rPr>
                <w:sz w:val="17"/>
                <w:szCs w:val="17"/>
              </w:rPr>
              <w:t xml:space="preserve">+306.6</w:t>
            </w:r>
          </w:p>
        </w:tc>
        <w:tc>
          <w:tcPr>
            <w:tcW w:w="854" w:type="dxa"/>
          </w:tcPr>
          <w:p>
            <w:pPr>
              <w:pStyle w:val="Compact"/>
              <w:suppressLineNumbers/>
              <w:spacing w:before="0" w:after="0" w:line="240" w:lineRule="auto"/>
              <w:jc w:val="right"/>
              <w:rPr>
                <w:sz w:val="17"/>
                <w:szCs w:val="17"/>
              </w:rPr>
            </w:pPr>
            <w:r>
              <w:rPr>
                <w:sz w:val="17"/>
                <w:szCs w:val="17"/>
              </w:rPr>
              <w:t xml:space="preserve">+2.584</w:t>
            </w:r>
          </w:p>
        </w:tc>
        <w:tc>
          <w:tcPr>
            <w:tcW w:w="1210" w:type="dxa"/>
          </w:tcPr>
          <w:p>
            <w:pPr>
              <w:pStyle w:val="Compact"/>
              <w:suppressLineNumbers/>
              <w:spacing w:before="0" w:after="0" w:line="240" w:lineRule="auto"/>
              <w:jc w:val="right"/>
              <w:rPr>
                <w:sz w:val="17"/>
                <w:szCs w:val="17"/>
              </w:rPr>
            </w:pPr>
            <w:r>
              <w:rPr>
                <w:sz w:val="17"/>
                <w:szCs w:val="17"/>
              </w:rPr>
              <w:t xml:space="preserve">2.2 × 10⁻²⁴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ATP2B4</w:t>
            </w:r>
          </w:p>
        </w:tc>
        <w:tc>
          <w:tcPr>
            <w:tcW w:w="1282" w:type="dxa"/>
          </w:tcPr>
          <w:p>
            <w:pPr>
              <w:pStyle w:val="Compact"/>
              <w:suppressLineNumbers/>
              <w:spacing w:before="0" w:after="0" w:line="240" w:lineRule="auto"/>
              <w:jc w:val="right"/>
              <w:rPr>
                <w:sz w:val="17"/>
                <w:szCs w:val="17"/>
              </w:rPr>
            </w:pPr>
            <w:r>
              <w:rPr>
                <w:sz w:val="17"/>
                <w:szCs w:val="17"/>
              </w:rPr>
              <w:t xml:space="preserve">10.99</w:t>
            </w:r>
          </w:p>
        </w:tc>
        <w:tc>
          <w:tcPr>
            <w:tcW w:w="1353" w:type="dxa"/>
          </w:tcPr>
          <w:p>
            <w:pPr>
              <w:pStyle w:val="Compact"/>
              <w:suppressLineNumbers/>
              <w:spacing w:before="0" w:after="0" w:line="240" w:lineRule="auto"/>
              <w:jc w:val="right"/>
              <w:rPr>
                <w:sz w:val="17"/>
                <w:szCs w:val="17"/>
              </w:rPr>
            </w:pPr>
            <w:r>
              <w:rPr>
                <w:sz w:val="17"/>
                <w:szCs w:val="17"/>
              </w:rPr>
              <w:t xml:space="preserve">9.21</w:t>
            </w:r>
          </w:p>
        </w:tc>
        <w:tc>
          <w:tcPr>
            <w:tcW w:w="1282" w:type="dxa"/>
          </w:tcPr>
          <w:p>
            <w:pPr>
              <w:pStyle w:val="Compact"/>
              <w:suppressLineNumbers/>
              <w:spacing w:before="0" w:after="0" w:line="240" w:lineRule="auto"/>
              <w:jc w:val="right"/>
              <w:rPr>
                <w:sz w:val="17"/>
                <w:szCs w:val="17"/>
              </w:rPr>
            </w:pPr>
            <w:r>
              <w:rPr>
                <w:sz w:val="17"/>
                <w:szCs w:val="17"/>
              </w:rPr>
              <w:t xml:space="preserve">9.58</w:t>
            </w:r>
          </w:p>
        </w:tc>
        <w:tc>
          <w:tcPr>
            <w:tcW w:w="1353" w:type="dxa"/>
          </w:tcPr>
          <w:p>
            <w:pPr>
              <w:pStyle w:val="Compact"/>
              <w:suppressLineNumbers/>
              <w:spacing w:before="0" w:after="0" w:line="240" w:lineRule="auto"/>
              <w:jc w:val="right"/>
              <w:rPr>
                <w:sz w:val="17"/>
                <w:szCs w:val="17"/>
              </w:rPr>
            </w:pPr>
            <w:r>
              <w:rPr>
                <w:sz w:val="17"/>
                <w:szCs w:val="17"/>
              </w:rPr>
              <w:t xml:space="preserve">10.52</w:t>
            </w:r>
          </w:p>
        </w:tc>
        <w:tc>
          <w:tcPr>
            <w:tcW w:w="1496" w:type="dxa"/>
          </w:tcPr>
          <w:p>
            <w:pPr>
              <w:pStyle w:val="Compact"/>
              <w:suppressLineNumbers/>
              <w:spacing w:before="0" w:after="0" w:line="240" w:lineRule="auto"/>
              <w:jc w:val="right"/>
              <w:rPr>
                <w:sz w:val="17"/>
                <w:szCs w:val="17"/>
              </w:rPr>
            </w:pPr>
            <w:r>
              <w:rPr>
                <w:sz w:val="17"/>
                <w:szCs w:val="17"/>
              </w:rPr>
              <w:t xml:space="preserve">32.0</w:t>
            </w:r>
          </w:p>
        </w:tc>
        <w:tc>
          <w:tcPr>
            <w:tcW w:w="1140" w:type="dxa"/>
          </w:tcPr>
          <w:p>
            <w:pPr>
              <w:pStyle w:val="Compact"/>
              <w:suppressLineNumbers/>
              <w:spacing w:before="0" w:after="0" w:line="240" w:lineRule="auto"/>
              <w:jc w:val="right"/>
              <w:rPr>
                <w:sz w:val="17"/>
                <w:szCs w:val="17"/>
              </w:rPr>
            </w:pPr>
            <w:r>
              <w:rPr>
                <w:sz w:val="17"/>
                <w:szCs w:val="17"/>
              </w:rPr>
              <w:t xml:space="preserve">+9.8</w:t>
            </w:r>
          </w:p>
        </w:tc>
        <w:tc>
          <w:tcPr>
            <w:tcW w:w="854" w:type="dxa"/>
          </w:tcPr>
          <w:p>
            <w:pPr>
              <w:pStyle w:val="Compact"/>
              <w:suppressLineNumbers/>
              <w:spacing w:before="0" w:after="0" w:line="240" w:lineRule="auto"/>
              <w:jc w:val="right"/>
              <w:rPr>
                <w:sz w:val="17"/>
                <w:szCs w:val="17"/>
              </w:rPr>
            </w:pPr>
            <w:r>
              <w:rPr>
                <w:sz w:val="17"/>
                <w:szCs w:val="17"/>
              </w:rPr>
              <w:t xml:space="preserve">+0.308</w:t>
            </w:r>
          </w:p>
        </w:tc>
        <w:tc>
          <w:tcPr>
            <w:tcW w:w="1210" w:type="dxa"/>
          </w:tcPr>
          <w:p>
            <w:pPr>
              <w:pStyle w:val="Compact"/>
              <w:suppressLineNumbers/>
              <w:spacing w:before="0" w:after="0" w:line="240" w:lineRule="auto"/>
              <w:jc w:val="right"/>
              <w:rPr>
                <w:sz w:val="17"/>
                <w:szCs w:val="17"/>
              </w:rPr>
            </w:pPr>
            <w:r>
              <w:rPr>
                <w:sz w:val="17"/>
                <w:szCs w:val="17"/>
              </w:rPr>
              <w:t xml:space="preserve">5.0 × 10⁻⁶</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34.34</w:t>
            </w:r>
          </w:p>
        </w:tc>
        <w:tc>
          <w:tcPr>
            <w:tcW w:w="1353" w:type="dxa"/>
          </w:tcPr>
          <w:p>
            <w:pPr>
              <w:pStyle w:val="Compact"/>
              <w:suppressLineNumbers/>
              <w:spacing w:before="0" w:after="0" w:line="240" w:lineRule="auto"/>
              <w:jc w:val="right"/>
              <w:rPr>
                <w:sz w:val="17"/>
                <w:szCs w:val="17"/>
              </w:rPr>
            </w:pPr>
            <w:r>
              <w:rPr>
                <w:sz w:val="17"/>
                <w:szCs w:val="17"/>
              </w:rPr>
              <w:t xml:space="preserve">35.49</w:t>
            </w:r>
          </w:p>
        </w:tc>
        <w:tc>
          <w:tcPr>
            <w:tcW w:w="1282" w:type="dxa"/>
          </w:tcPr>
          <w:p>
            <w:pPr>
              <w:pStyle w:val="Compact"/>
              <w:suppressLineNumbers/>
              <w:spacing w:before="0" w:after="0" w:line="240" w:lineRule="auto"/>
              <w:jc w:val="right"/>
              <w:rPr>
                <w:sz w:val="17"/>
                <w:szCs w:val="17"/>
              </w:rPr>
            </w:pPr>
            <w:r>
              <w:rPr>
                <w:sz w:val="17"/>
                <w:szCs w:val="17"/>
              </w:rPr>
              <w:t xml:space="preserve">29.99</w:t>
            </w:r>
          </w:p>
        </w:tc>
        <w:tc>
          <w:tcPr>
            <w:tcW w:w="1353" w:type="dxa"/>
          </w:tcPr>
          <w:p>
            <w:pPr>
              <w:pStyle w:val="Compact"/>
              <w:suppressLineNumbers/>
              <w:spacing w:before="0" w:after="0" w:line="240" w:lineRule="auto"/>
              <w:jc w:val="right"/>
              <w:rPr>
                <w:sz w:val="17"/>
                <w:szCs w:val="17"/>
              </w:rPr>
            </w:pPr>
            <w:r>
              <w:rPr>
                <w:sz w:val="17"/>
                <w:szCs w:val="17"/>
              </w:rPr>
              <w:t xml:space="preserve">40.56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TPM (transcripts per million), mean of three libraries per group; adjusted TPM, after per-library median-of-ratios scaling for library composition (Methods 2.10). Share, percentage of the family total in control cells; bold, dominant member (&gt; 50%). log2FC and p_adj from DESeq2 on the gene-level Salmon counts; NA, not computed; CRAC, Ca²⁺ release-activated Ca²⁺.</w:t>
      </w:r>
    </w:p>
    <w:p>
      <w:pPr>
        <w:pStyle w:val="FirstParagraph"/>
        <w:keepNext/>
        <w:suppressLineNumbers/>
        <w:spacing w:before="0" w:after="120" w:line="240" w:lineRule="auto"/>
        <w:jc w:val="both"/>
      </w:pPr>
      <w:r>
        <w:rPr>
          <w:b/>
          <w:bCs/>
        </w:rPr>
        <w:t xml:space="preserve">Table 2.</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jc w:val="both"/>
      </w:pPr>
      <w:r>
        <w:rPr>
          <w:b/>
          <w:bCs/>
        </w:rPr>
        <w:t xml:space="preserve">Table 3.</w:t>
      </w:r>
      <w:r>
        <w:t xml:space="preserve"> </w:t>
      </w:r>
      <w:r>
        <w:t xml:space="preserve">Robust splicing events in the primary SH-SY5Y model among the twelve SOCE-machinery genes examined event by event (Methods 2.3), with bootstrap confidence intervals; all four are skipped-exon events.</w:t>
      </w:r>
      <w:r>
        <w:t xml:space="preserve"> </w:t>
      </w:r>
      <w:r>
        <w:rPr>
          <w:i/>
          <w:iCs/>
        </w:rPr>
        <w:t xml:space="preserve">CBARP</w:t>
      </w:r>
      <w:r>
        <w:t xml:space="preserve"> </w:t>
      </w:r>
      <w:r>
        <w:t xml:space="preserve">was not among the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CI, confidence interval; FDR, false discovery rate; PSI, percent spliced in.</w:t>
      </w:r>
    </w:p>
    <w:p>
      <w:pPr>
        <w:pStyle w:val="BodyText"/>
        <w:keepNext/>
        <w:suppressLineNumbers/>
        <w:spacing w:before="0" w:after="120" w:line="240" w:lineRule="auto"/>
        <w:jc w:val="both"/>
      </w:pPr>
      <w:r>
        <w:rPr>
          <w:b/>
          <w:bCs/>
        </w:rPr>
        <w:t xml:space="preserve">Table 4.</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NA, fewer than four control replicates. iPSC-MN, iPSC-derived motor neurons; KD, knockdown.</w:t>
      </w:r>
    </w:p>
    <w:p>
      <w:pPr>
        <w:pStyle w:val="BodyText"/>
        <w:keepNext/>
        <w:suppressLineNumbers/>
        <w:spacing w:before="0" w:after="120" w:line="240" w:lineRule="auto"/>
        <w:jc w:val="both"/>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jc w:val="both"/>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jc w:val="both"/>
    </w:pPr>
    <w:rPr>
      <w:rFonts w:ascii="Times New Roman" w:hAnsi="Times New Roman"/>
      <w:sz w:val="22"/>
    </w:rPr>
  </w:style>
  <w:style w:styleId="BodyText" w:type="paragraph">
    <w:name w:val="Body Text"/>
    <w:basedOn w:val="Normal"/>
    <w:link w:val="BodyTextChar"/>
    <w:qFormat/>
    <w:pPr>
      <w:spacing w:after="120" w:before="0" w:line="283" w:lineRule="auto"/>
      <w:jc w:val="both"/>
    </w:pPr>
    <w:rPr>
      <w:rFonts w:ascii="Times New Roman" w:hAnsi="Times New Roman"/>
      <w:sz w:val="22"/>
    </w:rPr>
  </w:style>
  <w:style w:customStyle="1" w:styleId="FirstParagraph" w:type="paragraph">
    <w:name w:val="First Paragraph"/>
    <w:basedOn w:val="BodyText"/>
    <w:next w:val="BodyText"/>
    <w:qFormat/>
    <w:pPr>
      <w:spacing w:line="283" w:lineRule="auto" w:before="0" w:after="120"/>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b w:val="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