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Fura-2-measured SOCE amplitude decreased from 1.542 ± 0.282 to 0.245 ± 0.083 Δ(F340/F380) (n = 3). ER Ca²⁺ release amplitudes were 0.268 and 0.180 Δ(F340/F380), respectively.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the sole reference gene. In the four-target RNA set, its mean Ct was 19.49 in non-targeting shRNA controls and 19.50 in shTDP-43 cells (n = 4 each).</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measured 72 h after transduction; before completion of the day-5 selection used for RNA collection in parallel cultures.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(n = 3).</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For the available 48-h data, n = 4;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(n = 3) and WST-1 well signals (n = 4) were summarised descriptively; n denotes measurements within one experiment. Significance was set at adjusted p &lt; 0.05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descriptive summary only). Bars represent means ± SEM; dots are individual measurements.</w:t>
      </w:r>
    </w:p>
    <w:p>
      <w:pPr>
        <w:pStyle w:val="BodyText"/>
        <w:jc w:val="both"/>
      </w:pPr>
      <w:r>
        <w:t xml:space="preserve">The Fura-2 Ca²⁺-readdition amplitude was markedly lower in shTDP-43 cells (Figure 2). The ER Ca²⁺-release means were 0.268 ± 0.042 and 0.180 ± 0.061 Δ(F340/F380) in the control and shTDP-43 groups, respectively. The readdition amplitudes were 1.542 ± 0.282 and 0.245 ± 0.083, respectively (n = 3). At 48 h, the WST-1 signal was 61.5 ± 0.8% of control, a 38.5% decrease (n = 4). These Fura-2 and WST-1 comparisons are descriptive.</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Original representative traces from non-targeting shRNA control and shTDP-43 cells, shown at their native axis ranges. CPA (10 µM) and CaCl₂ (nominally 1.5 mM) additions are indicated. (C) ER Ca²⁺ release after CPA. (D) Ca²⁺-readdition amplitude. Panels C and D show individual measurements and mean ± SEM (n = 3; descriptive).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a small set of events supported by adequate coverage and bootstrap intervals excluding zero (Table 3, Supplementary Figure S3).</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3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3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4;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of ten multiple sclerosis donors with NAWM samples versus five control donors, δ = −0.771, uncorrected p = 0.030). In the full GSE138614 sample-level comparison, regression of TRPC1 on MBP, PLP1 and GFAP attenuated the unadjusted difference from δ = −0.562 to Cliff’s δ of −0.418 on the residuals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Heading3"/>
        <w:rPr>
          <w:b w:val="1"/>
        </w:rPr>
        <w:jc w:val="left"/>
      </w:pPr>
      <w:r>
        <w:rPr>
          <w:b/>
        </w:rPr>
        <w:t xml:space="preserve">3.10 Exploratory analysis of ALS regional transcript patterns</w:t>
      </w:r>
    </w:p>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The ER-release mean decreased from 0.268 to 0.180 Δ(F340/F380), while the subsequent SOCE amplitude showed a much larger proportional decrease. A smaller releasable store may therefore contribute, but it is unlikely to account on its own for the magnitude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localization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The approximately 84% reduction in SOCE amplitude was more than twice this proportional change, arguing against simple scaling of the calcium phenotype by the WST-1 signal, although the assays were performed in separate preparations. This agrees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had a median |ΔPSI| of 0.37 and a median of 246 junction reads per event, was independently supported by the annotation-free analysis and showed the largest expression change among the SOCE-regulatory genes.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(ΔPSI +0.0013, 95% CI −0.022 to +0.024; p = 0.914).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rPr>
          <w:b/>
        </w:rPr>
        <w:t xml:space="preserve">Relevance to disease tissue. </w:t>
      </w:r>
      <w:r>
        <w:t xml:space="preserve">TRPC1 and SARAF increased and CBARP decreased in six of seven ALS brain regions, matching the direction observed in the public SH-SY5Y model. TRPC1 remained unchanged in spinal cord and decreased in the neurological comparison cohorts. Because bulk-tissue expression is sensitive to region and cellular composition, these observations identify disease-associated candidates rather than a direct TDP-43-driven mechanism. Together with the opposing direction of SOCE changes reported in SOD1 astrocytes, these findings indicate that cell identity and compensatory state shape the calcium-regulatory phenotype.</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A coherent model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depolarization-evoked Ca²⁺ entry or secretion than on CPA-triggered SOCE. These outcomes would distinguish store, channel-composition and broader calcium-network mechanisms and place the functional phenotype within a directly testable neurochemical framework.</w:t>
      </w:r>
    </w:p>
    <w:p>
      <w:pPr>
        <w:pStyle w:val="BodyText"/>
        <w:jc w:val="both"/>
      </w:pPr>
      <w:r>
        <w:t xml:space="preserve">The laboratory assay used undifferentiated, proliferative SH-SY5Y cells; the public iPSC-derived motor-neuron datasets extend the RNA comparisons but do not provide a matched functional measurement in motor neurons.</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v1.0.1 at https://github.com/elmasnuryilmaz/tdp43-soce-manuscript/releases/tag/v1.0.1.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