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 was 84% lower after knockdown (n = 3 independent cultures; Welch’s t-test p = 0.035). ER Ca²⁺ release was 33% lower (p = 0.31), and readdition normalised to each culture’s own release remained 77% lower.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tissue, TRPC1 and SARAF increased and CBARP decreased in six brain regions, and SARAF and CBARP changed in the same direction in cervical and lumbar cord,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the twelve core entry components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the dataset of a preprint (Sinha et al., 2025; i3Neurons;</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 The twelve genes examined event by event in Section 2.3 are a subset of these nineteen and are called the core entry components.</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used as the sole reference gene because its mean Ct was essentially unchanged in the four-target RNA set: 19.49 in non-targeting shRNA controls and 19.50 in shTDP-43 cells (n = 4 each). Amplification efficiencies were not determined for the individual assays, and the 2^(−ΔΔCt) calculation therefore assumes near-equal efficiencies. Knockdown was verified in the RNA set collected in April and May and was not re-measured in the June and July set in which the four targets were quantified. Reporting guidelines for quantitative PCR recommend at least two validated reference genes, so the single-reference design and these two points are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prepared for measurement 72 h after transduction, while puromycin selection was still in progress; the RNA of Section 2.13 came from parallel cultures of the same transduction on day 5, after selection was complete. Both groups were seeded at the same density, 40,000 cells per well, onto disinfected glass coverslips in 24-well plates one day before the measurement, and the samples of a group were prepared and measured on the same day. Cells were measured while still attached to the coverslip, which was mounted in the cuvette, so they were neither trypsinised nor measured in suspension.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independent cultures (n = 3), and both phases were read from the same recording of each culture.</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 and neither the cell number nor the dye loading of each cuvette was recorded, so a difference in either between the groups cannot be excluded.</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from three independent cultures per group were compared with Welch’s two-tailed t-test (SciPy v1.12.0), which does not assume equal variances, and are reported with the difference in means and its 95% confidence interval; these two pre-specified comparisons were not adjusted for multiplicity. Effect sizes are Hedges’ g, the small-sample-corrected standardised mean difference, with the interval of Hedges and Olkin; at three samples per group the point estimate is large but its interval is correspondingly wide, so it describes the size of the difference rather than establishing it. With three samples per group the smallest two-sided p value attainable by a rank or permutation test is 0.10, so these comparisons rest on the parametric assumption of Welch’s test rather than on a distribution-free one. The readdition-to-release ratio of each culture was summarised descriptively. The 48-h WST-1 wells (n = 4) come from one experiment and were summarised descriptively, because wells within an experiment are not independent replicates. Significance was set at p &lt; 0.05, Holm-adjusted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 Figure 1A).</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Figure 1B).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descr=""/>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wells of a single experiment, that is technical replicates; summarised descriptively and not tested). Bars represent means ± SEM; dots are individual measurements.</w:t>
      </w:r>
    </w:p>
    <w:p>
      <w:pPr>
        <w:pStyle w:val="BodyText"/>
        <w:jc w:val="both"/>
      </w:pPr>
      <w:r>
        <w:t xml:space="preserve">The Fura-2 Ca²⁺-readdition amplitude was markedly lower in shTDP-43 cells (Figure 2). The readdition amplitude fell from 1.542 ± 0.282 to 0.245 ± 0.083 Δ(F340/F380) (mean ± SEM, n = 3 independent cultures per group; difference −1.30, 95% CI −2.40 to −0.19; Welch’s t-test p = 0.035; Hedges’ g = −2.9, 95% CI −5.3 to −0.5). ER Ca²⁺ release fell less and not significantly, from 0.268 ± 0.042 to 0.180 ± 0.061 (difference −0.09, 95% CI −0.30 to +0.13; p = 0.31; Hedges’ g = −0.8, 95% CI −2.2 to +0.6). Because both phases come from the same recording, readdition was also expressed relative to each culture’s own release. This ratio was 5.88 ± 1.10 in controls and 1.36 ± 0.01 after knockdown, 77% lower (Hedges’ g = −2.7, 95% CI −4.9 to −0.4), and every shTDP-43 culture had a lower ratio than every control culture (Supplementary Table S1). A smaller releasable store therefore does not account for most of the decrease. Plotted on common axes, the two representative recordings had similar baselines before readdition (Figure 2E). At 48 h, the WST-1 signal was 61.5 ± 0.8% of control, a 38.5% decrease (n = 4 wells; descriptive; Figure 1C).</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6798564"/>
            <wp:docPr id="2" name="Picture 2" descr=""/>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6798564"/>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The original recordings, exported from the GraphPad Prism trace project and reproduced here unchanged, from non-targeting shRNA control and shTDP-43 cells, each shown at the axis range of its own recording: the y axis spans 0–3 in A and 0.5–1.5 in B, and the time windows differ, so the two panels are not directly comparable by eye; panel E replots them on common axes. CPA (10 µM) and CaCl₂ (nominally 1.5 mM) additions are indicated. (C) ER Ca²⁺ release after CPA. (D) Ca²⁺-readdition amplitude. Panels C and D show the three independent cultures per group and mean ± SEM (readdition, Welch’s t-test p = 0.035; ER release, p = 0.31). (E) The same two recordings as in A and B, that is the same measured F340/F380 values exported from that Prism project, drawn on common axes so that the two can be compared directly; time is aligned to the steepest point of the readdition rise and no value is smoothed or rescaled.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rPr/>
        <w:t xml:space="preserve">In control cells </w:t>
      </w:r>
      <w:r>
        <w:rPr>
          <w:i/>
        </w:rPr>
        <w:t>ORAI2</w:t>
      </w:r>
      <w:r>
        <w:rPr/>
        <w:t xml:space="preserve"> and </w:t>
      </w:r>
      <w:r>
        <w:rPr>
          <w:i/>
        </w:rPr>
        <w:t>ATP2A2</w:t>
      </w:r>
      <w:r>
        <w:rPr/>
        <w:t xml:space="preserve"> are the dominant members of their families (77% and 98% of the family total), whereas </w:t>
      </w:r>
      <w:r>
        <w:rPr>
          <w:i/>
        </w:rPr>
        <w:t>ORAI1</w:t>
      </w:r>
      <w:r>
        <w:rPr/>
        <w:t xml:space="preserve"> and </w:t>
      </w:r>
      <w:r>
        <w:rPr>
          <w:i/>
        </w:rPr>
        <w:t>ATP2A3</w:t>
      </w:r>
      <w:r>
        <w:rPr/>
        <w:t xml:space="preserve"> are minor members (15% and 1.5%); </w:t>
      </w:r>
      <w:r>
        <w:rPr>
          <w:i/>
        </w:rPr>
        <w:t>STIM1</w:t>
      </w:r>
      <w:r>
        <w:rPr/>
        <w:t xml:space="preserve"> and </w:t>
      </w:r>
      <w:r>
        <w:rPr>
          <w:i/>
        </w:rPr>
        <w:t>TRPC1</w:t>
      </w:r>
      <w:r>
        <w:rPr/>
        <w:t xml:space="preserve"> dominate their families (64% and 98%), and </w:t>
      </w:r>
      <w:r>
        <w:rPr>
          <w:i/>
        </w:rPr>
        <w:t>SARAF</w:t>
      </w:r>
      <w:r>
        <w:rPr/>
        <w:t xml:space="preserve"> accounts for 82% of the SOCE-regulator pool. In knockdown the dominant </w:t>
      </w:r>
      <w:r>
        <w:rPr>
          <w:i/>
        </w:rPr>
        <w:t>ORAI2</w:t>
      </w:r>
      <w:r>
        <w:rPr/>
        <w:t xml:space="preserve"> and </w:t>
      </w:r>
      <w:r>
        <w:rPr>
          <w:i/>
        </w:rPr>
        <w:t>ATP2A2</w:t>
      </w:r>
      <w:r>
        <w:rPr/>
        <w:t xml:space="preserve"> transcripts fell modestly (DESeq2 log2FC −0.17 and −0.25; p_adj = 2.2 × 10⁻³ and 8.7 × 10⁻⁹), while </w:t>
      </w:r>
      <w:r>
        <w:rPr>
          <w:i/>
        </w:rPr>
        <w:t>ORAI1</w:t>
      </w:r>
      <w:r>
        <w:rPr/>
        <w:t xml:space="preserve">, </w:t>
      </w:r>
      <w:r>
        <w:rPr>
          <w:i/>
        </w:rPr>
        <w:t>ATP2A3</w:t>
      </w:r>
      <w:r>
        <w:rPr/>
        <w:t xml:space="preserve">, </w:t>
      </w:r>
      <w:r>
        <w:rPr>
          <w:i/>
        </w:rPr>
        <w:t>STIM1</w:t>
      </w:r>
      <w:r>
        <w:rPr/>
        <w:t xml:space="preserve">, </w:t>
      </w:r>
      <w:r>
        <w:rPr>
          <w:i/>
        </w:rPr>
        <w:t>TRPC1</w:t>
      </w:r>
      <w:r>
        <w:rPr/>
        <w:t xml:space="preserve"> and </w:t>
      </w:r>
      <w:r>
        <w:rPr>
          <w:i/>
        </w:rPr>
        <w:t>SARAF</w:t>
      </w:r>
      <w:r>
        <w:rPr/>
        <w:t xml:space="preserve"> rose and </w:t>
      </w:r>
      <w:r>
        <w:rPr>
          <w:i/>
        </w:rPr>
        <w:t>ORAI3</w:t>
      </w:r>
      <w:r>
        <w:rPr/>
        <w:t xml:space="preserve"> rose about fivefold in adjusted TPM (DESeq2 log2FC 2.06; p_adj = 2.3 × 10⁻⁶⁴). At family level the ORAI pool therefore grew (+27%) and changed in composition: </w:t>
      </w:r>
      <w:r>
        <w:rPr>
          <w:i/>
        </w:rPr>
        <w:t>ORAI3</w:t>
      </w:r>
      <w:r>
        <w:rPr/>
        <w:t xml:space="preserve"> went from 8% to 30% of ORAI transcripts and </w:t>
      </w:r>
      <w:r>
        <w:rPr>
          <w:i/>
        </w:rPr>
        <w:t>ORAI2</w:t>
      </w:r>
      <w:r>
        <w:rPr/>
        <w:t xml:space="preserve"> from 77% to 53%. The STIM (+48%) and SOCE-regulator (+30%) pools also rose, whereas the SERCA and mitochondrial-uptake pools fell (−12% and −25%), the latter mainly through </w:t>
      </w:r>
      <w:r>
        <w:rPr>
          <w:i/>
        </w:rPr>
        <w:t>MCU</w:t>
      </w:r>
      <w:r>
        <w:rPr/>
        <w:t xml:space="preserve">, </w:t>
      </w:r>
      <w:r>
        <w:rPr>
          <w:i/>
        </w:rPr>
        <w:t>MICU2</w:t>
      </w:r>
      <w:r>
        <w:rPr/>
        <w:t xml:space="preserve"> and </w:t>
      </w:r>
      <w:r>
        <w:rPr>
          <w:i/>
        </w:rPr>
        <w:t>MCUB</w:t>
      </w:r>
      <w:r>
        <w:rPr/>
        <w:t>.</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descr=""/>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gave a more conservative result on the same libraries. It tested 31,474 events in 5,345 genes and returned no event meeting the shared FDR and |ΔPSI| ≥ 0.10 thresholds. Among 9,369 skipped-exon events matched by coordinates, the tools agreed weakly on ΔPSI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core entry components examined event by event (Methods 2.3) identified three events with adequate coverage and bootstrap intervals excluding zero: STIMATE, ORAI3 and STIM2 (Table 3; Figure 4A).</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the two human models compared at junction level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p>
      <w:pPr>
        <w:keepNext/>
      </w:pPr>
      <w:r>
        <w:drawing>
          <wp:inline>
            <wp:extent cx="5623560" cy="3960254"/>
            <wp:docPr id="7" name="Picture 7" descr=""/>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3960254"/>
                    </a:xfrm>
                    <a:prstGeom prst="rect"/>
                  </pic:spPr>
                </pic:pic>
              </a:graphicData>
            </a:graphic>
          </wp:inline>
        </w:drawing>
      </w:r>
    </w:p>
    <w:p>
      <w:pPr>
        <w:pStyle w:val="Caption"/>
      </w:pPr>
      <w:r>
        <w:rPr>
          <w:b/>
        </w:rPr>
        <w:t xml:space="preserve">Figure 4. </w:t>
      </w:r>
      <w:r>
        <w:t>Splicing evidence in SOCE-related genes. (A) Per-library PSI for the four skipped-exon events of Table 3 in the public SH-SY5Y comparison (three libraries per group); lines show group means, and the text gives the rMATS ΔPSI with its replicate-level bootstrap 95% interval. The STIM1 interval includes zero. (B) The 24-nucleotide SOAR exon that converts STIM2 into STIM2.1, measured as an rMATS event in six datasets. Squares are sized by inverse-variance weight, bars are 95% intervals and diamonds are fixed-effect pooled estimates for all six datasets and for the three human datasets (Supplementary Table S15). (C) CBARP: share of exon-4 donor reads joined to the alternative 3′ splice site at chr19:1,235,342 rather than to exon 5, per library, in SH-SY5Y and iPSC colonies. Reads were counted from the alignments with the rules of Methods 2.5; the full locus is shown in Supplementary Figure S3.</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rPr/>
        <w:t>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repeating the primary SH-SY5Y comparison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rPr/>
        <w:t>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but only TDP-43 knockdown recovered positive controls, two of the sixteen (</w:t>
      </w:r>
      <w:r>
        <w:rPr>
          <w:i/>
        </w:rPr>
        <w:t>STMN2</w:t>
      </w:r>
      <w:r>
        <w:rPr/>
        <w:t xml:space="preserve"> and </w:t>
      </w:r>
      <w:r>
        <w:rPr>
          <w:i/>
        </w:rPr>
        <w:t>KALRN</w:t>
      </w:r>
      <w:r>
        <w:rPr/>
        <w:t>). This dataset is too shallow for the high-confidence threshold to recover a control in any of the three comparisons (18, 26 and 23 events, none of them a control gene), and two controls against none is not by itself a significant difference (Fisher’s exact test p = 0.48), so the specificity of the procedure rests on the deeper comparisons, in which the same permissive analysis recovered thirteen of sixteen positive controls in SH-SY5Y and fifteen in iPSC colonies. The background call rate is therefore not specific to TDP-43, whereas the genes the analysis identifies are.</w:t>
      </w:r>
    </w:p>
    <w:p>
      <w:pPr>
        <w:pStyle w:val="BodyText"/>
        <w:jc w:val="both"/>
      </w:pPr>
      <w:r>
        <w:rPr/>
        <w:t>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(Supplementary Table S14). These ratios are not calibrated false-discovery rates, because the two analyses differ in sample size and in the number of tests, but they show that call counts are not interpretable on their own. In the remaining eight comparisons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rPr/>
        <w:t xml:space="preserve">Applied to the Ca²⁺ panels, the analysis returned an almost complete negative (Supplementary Table S7). 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Within the coverage, models and calling criteria used here, the only high-confidence unannotated change anywhere in the SOCE panel was the </w:t>
      </w:r>
      <w:r>
        <w:rPr>
          <w:i/>
        </w:rPr>
        <w:t>CBARP</w:t>
      </w:r>
      <w:r>
        <w:rPr/>
        <w:t xml:space="preserve"> junction in iPSC colonies, called there together with </w:t>
      </w:r>
      <w:r>
        <w:rPr>
          <w:i/>
        </w:rPr>
        <w:t>TRPM3</w:t>
      </w:r>
      <w:r>
        <w:rPr/>
        <w:t xml:space="preserve">; </w:t>
      </w:r>
      <w:r>
        <w:rPr>
          <w:i/>
        </w:rPr>
        <w:t>STIM1</w:t>
      </w:r>
      <w:r>
        <w:rPr/>
        <w:t xml:space="preserve">, </w:t>
      </w:r>
      <w:r>
        <w:rPr>
          <w:i/>
        </w:rPr>
        <w:t>STIM2</w:t>
      </w:r>
      <w:r>
        <w:rPr/>
        <w:t xml:space="preserve">, </w:t>
      </w:r>
      <w:r>
        <w:rPr>
          <w:i/>
        </w:rPr>
        <w:t>ORAI1</w:t>
      </w:r>
      <w:r>
        <w:rPr/>
        <w:t xml:space="preserve">–3, </w:t>
      </w:r>
      <w:r>
        <w:rPr>
          <w:i/>
        </w:rPr>
        <w:t>TRPC1</w:t>
      </w:r>
      <w:r>
        <w:rPr/>
        <w:t xml:space="preserve">, </w:t>
      </w:r>
      <w:r>
        <w:rPr>
          <w:i/>
        </w:rPr>
        <w:t>SARAF</w:t>
      </w:r>
      <w:r>
        <w:rPr/>
        <w:t xml:space="preserve">, </w:t>
      </w:r>
      <w:r>
        <w:rPr>
          <w:i/>
        </w:rPr>
        <w:t>STIMATE</w:t>
      </w:r>
      <w:r>
        <w:rPr/>
        <w:t xml:space="preserve"> and the SERCA and mitochondrial uptake genes carried none in any comparison. That single call comes from the dataset whose null test produced 0.64 calls for every real call, so it is not evidence on its own, although the </w:t>
      </w:r>
      <w:r>
        <w:rPr>
          <w:i/>
        </w:rPr>
        <w:t>CBARP</w:t>
      </w:r>
      <w:r>
        <w:rPr/>
        <w:t xml:space="preserve"> junction is corroborated below. Permissive-tier and annotated-site events are detailed in Supplementary Table S7 and Figure S4B.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 showed the largest local change of any SOCE gene in SH-SY5Y, in the junction from exon 4 to the alternative 3′ splice site (ΔPSI +0.74</w:t>
      </w:r>
      <w:r>
        <w:t xml:space="preserve"/>
      </w:r>
      <w:r>
        <w:t xml:space="preserve">, 95% CI +0.51 to +0.83, q = 2.7 × 10⁻¹²; +0.76, q = 5.6 × 10⁻¹⁷ in the regtools set), and one arm of the CBARP event uses a splice site absent from the annotation (Supplementary Figure S3).</w:t>
      </w:r>
      <w:r>
        <w:t xml:space="preserve"/>
      </w:r>
      <w:r>
        <w:rPr>
          <w:i/>
          <w:iCs/>
        </w:rPr>
        <w:t xml:space="preserve"/>
      </w:r>
      <w:r>
        <w:t xml:space="preserve"/>
      </w:r>
      <w:r>
        <w:t xml:space="preserve">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At junction level the exon (chr4:27,007,983–27,008,006) was positive in direction in all five TDP-43 comparisons in which it was measurable, but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rMATS combines both flanking junctions and normalises by effective length, whereas the junction-level PSI is the share of the single downstream junction among all junctions leaving that donor, the more sensitive and the noisier measure for a lowly used exon. On either measure the magnitude is too small to support an isoform switch, and the negative conclusion of the meta-analysis stands.</w:t>
      </w:r>
    </w:p>
    <w:p>
      <w:pPr>
        <w:pStyle w:val="BodyText"/>
        <w:jc w:val="both"/>
      </w:pPr>
      <w:r>
        <w:rPr/>
        <w:t>FRASER, run on the nine-sample doxycycline series, returned no genome-wide significant outlier and no difference in per-sample outlier burden between depleted and control libraries (4.8 versus 2.3 events at p &lt; 10⁻⁵; p = 0.35). This is the expected behaviour of an outlier method in a cohort where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rPr/>
        <w:t xml:space="preserve">Excluding CIGAR reference skips matters for this positive control: including them would have changed the </w:t>
      </w:r>
      <w:r>
        <w:rPr>
          <w:i/>
        </w:rPr>
        <w:t>STMN2</w:t>
      </w:r>
      <w:r>
        <w:rPr/>
        <w:t xml:space="preserve"> intron 2 index difference from +0.145 to +0.489. With skips excluded, the </w:t>
      </w:r>
      <w:r>
        <w:rPr>
          <w:i/>
        </w:rPr>
        <w:t>STMN2</w:t>
      </w:r>
      <w:r>
        <w:rPr/>
        <w:t xml:space="preserve"> intronic index shifted only moderately in the primary SH-SY5Y model, by +0.145 over all six libraries (bootstrap 95% CI +0.085 to +0.205). </w:t>
      </w:r>
      <w:r>
        <w:rPr>
          <w:i/>
        </w:rPr>
        <w:t>STMN2</w:t>
      </w:r>
      <w:r>
        <w:rPr/>
        <w:t xml:space="preserve"> falls outside the depth-filtered summary table because one control library has a summed two-window depth of 2.97, just below the pre-specified threshold of 3; one knockdown library has zero measured coverage in the 3′ window, which by the definition of the index contributes a value of 1.0 rather than missing data, and excluding that library gives +0.121 (+0.068 to +0.173) (Supplementary Figure S6B).</w:t>
      </w:r>
    </w:p>
    <w:p>
      <w:pPr>
        <w:pStyle w:val="BodyText"/>
        <w:jc w:val="both"/>
      </w:pPr>
      <w:r>
        <w:rPr/>
        <w:t>Among the depth-qualified units of the SOCE machinery in the full-panel analysis, two intronic units showed moderate decreases (</w:t>
      </w:r>
      <w:r>
        <w:rPr>
          <w:i/>
        </w:rPr>
        <w:t>STIM1</w:t>
      </w:r>
      <w:r>
        <w:rPr/>
        <w:t xml:space="preserve"> intron 17, Δ = −0.173, bootstrap 95% CI −0.233 to −0.123; </w:t>
      </w:r>
      <w:r>
        <w:rPr>
          <w:i/>
        </w:rPr>
        <w:t>STIM2</w:t>
      </w:r>
      <w:r>
        <w:rPr/>
        <w:t xml:space="preserve"> intron 13, Δ = −0.156, −0.239 to −0.037). Neither is independent of the splicing results: the 5′ window of the </w:t>
      </w:r>
      <w:r>
        <w:rPr>
          <w:i/>
        </w:rPr>
        <w:t>STIM2</w:t>
      </w:r>
      <w:r>
        <w:rPr/>
        <w:t xml:space="preserve"> unit contains the alternatively spliced </w:t>
      </w:r>
      <w:r>
        <w:rPr>
          <w:i/>
        </w:rPr>
        <w:t>STIM2</w:t>
      </w:r>
      <w:r>
        <w:rPr/>
        <w:t xml:space="preserve"> exon of Table 3 (chr4:27,021,494–27,021,612), whose inclusion falls in knockdown and whose exon reads dominate that window (control index 0.96), so the decrease reports that splicing change, and the </w:t>
      </w:r>
      <w:r>
        <w:rPr>
          <w:i/>
        </w:rPr>
        <w:t>STIM1</w:t>
      </w:r>
      <w:r>
        <w:rPr/>
        <w:t xml:space="preserve"> unit is the intron immediately upstream of the alternatively included </w:t>
      </w:r>
      <w:r>
        <w:rPr>
          <w:i/>
        </w:rPr>
        <w:t>STIM1</w:t>
      </w:r>
      <w:r>
        <w:rPr/>
        <w:t xml:space="preserve"> exon of Table 3, ending 50 bp before it. Both are candidate coverage gradients rather than localised poly(A) sites. Sparse intronic windows produced unstable point estimates and were excluded by the pre-specified depth filter.</w:t>
      </w:r>
    </w:p>
    <w:p>
      <w:pPr>
        <w:pStyle w:val="BodyText"/>
        <w:jc w:val="both"/>
      </w:pPr>
      <w:r>
        <w:rPr/>
        <w:t xml:space="preserve">The analysis therefore identifies at most one moderate candidate gradient in the SOCE machinery, in </w:t>
      </w:r>
      <w:r>
        <w:rPr>
          <w:i/>
        </w:rPr>
        <w:t>STIM1</w:t>
      </w:r>
      <w:r>
        <w:rPr/>
        <w:t xml:space="preserve">, and does not establish a direct APA event in any of its genes. No index change of 0.05 or more was found for </w:t>
      </w:r>
      <w:r>
        <w:rPr>
          <w:i/>
        </w:rPr>
        <w:t>ORAI1</w:t>
      </w:r>
      <w:r>
        <w:rPr/>
        <w:t xml:space="preserve">–3, </w:t>
      </w:r>
      <w:r>
        <w:rPr>
          <w:i/>
        </w:rPr>
        <w:t>TRPC1</w:t>
      </w:r>
      <w:r>
        <w:rPr/>
        <w:t xml:space="preserve">, </w:t>
      </w:r>
      <w:r>
        <w:rPr>
          <w:i/>
        </w:rPr>
        <w:t>SARAF</w:t>
      </w:r>
      <w:r>
        <w:rPr/>
        <w:t xml:space="preserve">, </w:t>
      </w:r>
      <w:r>
        <w:rPr>
          <w:i/>
        </w:rPr>
        <w:t>STIMATE</w:t>
      </w:r>
      <w:r>
        <w:rPr/>
        <w:t xml:space="preserve">, </w:t>
      </w:r>
      <w:r>
        <w:rPr>
          <w:i/>
        </w:rPr>
        <w:t>CBARP</w:t>
      </w:r>
      <w:r>
        <w:rPr/>
        <w:t xml:space="preserve"> or the SERCA genes, and the two units of those genes whose intervals exclude zero are negligible in size (</w:t>
      </w:r>
      <w:r>
        <w:rPr>
          <w:i/>
        </w:rPr>
        <w:t>SARAF</w:t>
      </w:r>
      <w:r>
        <w:rPr/>
        <w:t xml:space="preserve"> terminal exon −0.036, </w:t>
      </w:r>
      <w:r>
        <w:rPr>
          <w:i/>
        </w:rPr>
        <w:t>ORAI2</w:t>
      </w:r>
      <w:r>
        <w:rPr/>
        <w:t xml:space="preserve"> terminal exon +0.012). Outside the SOCE machinery, three units of the Ca²⁺ panel likewise exclude zero: the </w:t>
      </w:r>
      <w:r>
        <w:rPr>
          <w:i/>
        </w:rPr>
        <w:t>ITPR3</w:t>
      </w:r>
      <w:r>
        <w:rPr/>
        <w:t xml:space="preserve"> terminal exon (−0.152), the </w:t>
      </w:r>
      <w:r>
        <w:rPr>
          <w:i/>
        </w:rPr>
        <w:t>MICU3</w:t>
      </w:r>
      <w:r>
        <w:rPr/>
        <w:t xml:space="preserve"> terminal exon (+0.097) and the </w:t>
      </w:r>
      <w:r>
        <w:rPr>
          <w:i/>
        </w:rPr>
        <w:t>ITPR1</w:t>
      </w:r>
      <w:r>
        <w:rPr/>
        <w:t xml:space="preserve"> terminal exon (−0.055), so the ER-release and mitochondrial-uptake arms show the same kind of candidate gradient as </w:t>
      </w:r>
      <w:r>
        <w:rPr>
          <w:i/>
        </w:rPr>
        <w:t>STIM1</w:t>
      </w:r>
      <w:r>
        <w:rPr/>
        <w:t xml:space="preserve"> rather than being spared. Larger shifts occur in the cryptic positive controls analysed alongside the panel, the </w:t>
      </w:r>
      <w:r>
        <w:rPr>
          <w:i/>
        </w:rPr>
        <w:t>UNC13A</w:t>
      </w:r>
      <w:r>
        <w:rPr/>
        <w:t xml:space="preserve"> intron 2 unit most of all (−0.267), which is how the assay is expected to behave in this model. Because the positive control responded only moderately here, absence of a signal is not evidence that these genes are spared.</w:t>
      </w:r>
    </w:p>
    <w:p>
      <w:pPr>
        <w:pStyle w:val="BodyText"/>
        <w:jc w:val="both"/>
      </w:pPr>
      <w:r>
        <w:rPr/>
        <w:t xml:space="preserve">We therefore repeated the analysis in the iPSC-derived motor neurons, where 59 units in 29 genes passed the same depth filter and the positive control behaved as intended: the index of </w:t>
      </w:r>
      <w:r>
        <w:rPr>
          <w:i/>
        </w:rPr>
        <w:t>STMN2</w:t>
      </w:r>
      <w:r>
        <w:rPr/>
        <w:t xml:space="preserve"> intron 2, which contains cryptic exon 2a, rose from 0.570 in controls to 0.819 in knockdown (Δ = +0.249, interval +0.208 to +0.290). Against it the SOCE-machinery genes again showed only small shifts, the largest being </w:t>
      </w:r>
      <w:r>
        <w:rPr>
          <w:i/>
        </w:rPr>
        <w:t>ATP2A2</w:t>
      </w:r>
      <w:r>
        <w:rPr/>
        <w:t xml:space="preserve"> intron 3 (−0.164) and, below 0.10, </w:t>
      </w:r>
      <w:r>
        <w:rPr>
          <w:i/>
        </w:rPr>
        <w:t>SARAF</w:t>
      </w:r>
      <w:r>
        <w:rPr/>
        <w:t xml:space="preserve"> intron 5 (+0.097), </w:t>
      </w:r>
      <w:r>
        <w:rPr>
          <w:i/>
        </w:rPr>
        <w:t>TRPC1</w:t>
      </w:r>
      <w:r>
        <w:rPr/>
        <w:t xml:space="preserve"> intron 1 (+0.083) and the </w:t>
      </w:r>
      <w:r>
        <w:rPr>
          <w:i/>
        </w:rPr>
        <w:t>STIM2</w:t>
      </w:r>
      <w:r>
        <w:rPr/>
        <w:t xml:space="preserve"> terminal exon (−0.074). The SH-SY5Y </w:t>
      </w:r>
      <w:r>
        <w:rPr>
          <w:i/>
        </w:rPr>
        <w:t>STIM1</w:t>
      </w:r>
      <w:r>
        <w:rPr/>
        <w:t xml:space="preserve"> intron 17 unit did not reach the depth filter here (</w:t>
      </w:r>
      <w:r>
        <w:rPr>
          <w:i/>
        </w:rPr>
        <w:t>STIM2</w:t>
      </w:r>
      <w:r>
        <w:rPr/>
        <w:t xml:space="preserve"> intron 13 gave −0.024, interval spanning zero). Here n = 2, so the enumerated bootstrap has sixteen draws and its intervals are coarse, and the point estimates carry the information.</w:t>
      </w:r>
    </w:p>
    <w:p>
      <w:pPr>
        <w:pStyle w:val="BodyText"/>
        <w:jc w:val="both"/>
      </w:pPr>
      <w:r>
        <w:t xml:space="preserve">The two mouse lines gave 74 qualifying units in C2C12 and 131 in NSC34, neither with a positive control for this assay, because the </w:t>
      </w:r>
      <w:r>
        <w:t xml:space="preserve"/>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 The NMD and APA screens are hypothesis-generating: the first because batch is confounded with TDP-43 status, the second because it measures coverage gradients rather than poly(A) sites.</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Against that null the excess is not significant, so this model provides no evidence of enrichment beyond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diseases, in four datasets,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the direction was the same in the second multiple sclerosis cohort, which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and lower again with the donor as the unit of inference (seven of ten multiple sclerosis donors with NAWM samples versus five control donors, δ = −0.771, uncorrected p = 0.030). In the full GSE138614 comparison, regression of TRPC1 on MBP, PLP1 and GFAP attenuated the difference at both levels: from δ = −0.562 to Cliff’s δ of −0.418 on the residuals at sample level (p = 0.002), and from δ = −0.840 to −0.640 at donor level, where the adjusted difference did not reach significance (p = 0.055).</w:t>
      </w:r>
      <w:r>
        <w:t xml:space="preserve"> </w:t>
      </w:r>
      <w:r>
        <w:rPr>
          <w:i/>
          <w:iCs/>
        </w:rPr>
        <w:t xml:space="preserve">TRPC1</w:t>
      </w:r>
      <w:r>
        <w:t xml:space="preserve"> </w:t>
      </w:r>
      <w:r>
        <w:t xml:space="preserve">was lower in every lesion type, including remyelinating and inactive lesions (donor-level δ = −1.000 for both), and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5.</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pPr>
      <w:r>
        <w:rPr/>
        <w:t xml:space="preserve">Within ALS samples the proxy did not track the three candidate transcripts. Across the ten regions, correlations of </w:t>
      </w:r>
      <w:r>
        <w:rPr>
          <w:i/>
        </w:rPr>
        <w:t>TRPC1</w:t>
      </w:r>
      <w:r>
        <w:rPr/>
        <w:t xml:space="preserve">, </w:t>
      </w:r>
      <w:r>
        <w:rPr>
          <w:i/>
        </w:rPr>
        <w:t>SARAF</w:t>
      </w:r>
      <w:r>
        <w:rPr/>
        <w:t xml:space="preserve"> and </w:t>
      </w:r>
      <w:r>
        <w:rPr>
          <w:i/>
        </w:rPr>
        <w:t>CBARP</w:t>
      </w:r>
      <w:r>
        <w:rPr/>
        <w:t xml:space="preserve"> with cryptic </w:t>
      </w:r>
      <w:r>
        <w:rPr>
          <w:i/>
        </w:rPr>
        <w:t>STMN2</w:t>
      </w:r>
      <w:r>
        <w:rPr/>
        <w:t xml:space="preserve"> PSI ranged from ρ = −0.29 to +0.18, and only one of these thirty tests reached significance (</w:t>
      </w:r>
      <w:r>
        <w:rPr>
          <w:i/>
        </w:rPr>
        <w:t>SARAF</w:t>
      </w:r>
      <w:r>
        <w:rPr/>
        <w:t xml:space="preserve"> in lumbar cord, ρ = −0.194, q = 0.049), in the direction opposite to the increase seen in ALS tissue. This exploratory analysis therefore does not support attributing the regional expression differences to TDP-43-dependent RNA processing; all tested correlations are provided in Supplementary Table S9.</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ER release fell by 33% and not significantly, whereas readdition fell by 84% and remained 77% lower when each culture was normalised to its own release, so a smaller releasable store does not account for most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programme.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4C; Supplementary Figure S3).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(Supplementary Table S15).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w:t>
      </w:r>
    </w:p>
    <w:p>
      <w:pPr>
        <w:pStyle w:val="BodyText"/>
        <w:jc w:val="both"/>
      </w:pPr>
      <w:r>
        <w:rPr>
          <w:b/>
        </w:rPr>
        <w:t xml:space="preserve">Relevance to disease tissue. </w:t>
      </w:r>
      <w:r>
        <w:t xml:space="preserve">TRPC1 and SARAF increased and CBARP decreased in six ALS brain regions, matching the direction observed in the public SH-SY5Y model. TRPC1 remained unchanged in the well-powered cervical and lumbar spinal-cord comparisons and decreased in the neurological comparison cohorts. Among the disease cohorts surveyed, ALS alone showed a significant TRPC1 increase, concentrated in brain regions. Because bulk-tissue expression is sensitive to region and cellular composition, these observations identify disease-associated candidates rather than a direct TDP-43-driven mechanism.</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The working model in Figure 6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depolarisation-evoked Ca²⁺ entry or secretion than on CPA-triggered SOCE. These outcomes would distinguish store, channel-composition and broader calcium-network mechanisms and place the functional phenotype within a directly testable neurochemical framework.</w:t>
      </w:r>
    </w:p>
    <w:p>
      <w:pPr>
        <w:keepNext/>
      </w:pPr>
      <w:r>
        <w:drawing>
          <wp:inline>
            <wp:extent cx="5623560" cy="3088997"/>
            <wp:docPr id="6" name="Picture 6" descr=""/>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623560" cy="3088997"/>
                    </a:xfrm>
                    <a:prstGeom prst="rect"/>
                  </pic:spPr>
                </pic:pic>
              </a:graphicData>
            </a:graphic>
          </wp:inline>
        </w:drawing>
      </w:r>
    </w:p>
    <w:p>
      <w:pPr>
        <w:pStyle w:val="Caption"/>
      </w:pPr>
      <w:r>
        <w:rPr>
          <w:b/>
        </w:rPr>
        <w:t xml:space="preserve">Figure 6. </w:t>
      </w:r>
      <w:r>
        <w:t>Working model of the observed calcium phenotype and candidate RNA changes. Blue boxes and solid arrows summarise what was measured in the laboratory cultures after TARDBP knockdown: higher TRPC1, STIM1, ORAI1 and ATP2A3 mRNA, a smaller Ca²⁺-readdition amplitude and a smaller, non-significant decrease in ER Ca²⁺ release. Orange boxes are candidate mechanisms suggested by the public RNA-seq data; dashed arrows mark hypotheses for future perturbation, not demonstrated causal links. CBARP is placed on a parallel voltage-gated channel branch that was not measured here.</w:t>
      </w:r>
    </w:p>
    <w:p>
      <w:pPr>
        <w:pStyle w:val="Heading3"/>
      </w:pPr>
      <w:r>
        <w:t>Limitations</w:t>
      </w:r>
    </w:p>
    <w:p>
      <w:r>
        <w:t>TARDBP depletion was verified by RT-qPCR but not at the protein level, and one TDP-43-targeting shRNA was used without a rescue experiment. The Fura-2 comparison rests on three independent cultures per group. At that size no rank or permutation test can reach a two-sided p below 0.10, so the difference is supported by a parametric test alone and would be more convincing with five to six cultures per group. The readdition signal was not characterised pharmacologically, for example with a store-operated channel blocker such as BTP2, Synta66 or Gd³⁺, so it is defined by the depletion–readdition protocol rather than by pharmacology. The WST-1 signal is reported at 48 h only, from four wells of one experiment; it is not a cell count and cannot separate fewer cells from lower metabolic activity per cell. Because metabolic activity was 38.5% lower, a smaller or less healthy cell population could contribute to the smaller Fura-2 signal; the ratiometric readout is in principle independent of cell number, but neither cell number nor maximum response was measured in the cuvettes. RT-qPCR was normalised to a single reference gene, GAPDH, whose Ct did not differ between groups. In the public inducible RNA-seq comparison GAPDH rose (log2FC +0.61) whereas TBP and B2M were stable; a similar rise in the laboratory cells would have led the target increases to be underestimated, and two-gene normalisation would be preferable.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 Normalising readdition to the release of the same culture removes differences in store content but not their consequences, because a smaller release also means weaker STIM activation, so the ratio bounds rather than eliminates the contribution of the store.</w:t>
      </w:r>
    </w:p>
    <w:p>
      <w:r>
        <w:t>Bulk post-mortem expression can reflect cell composition, and age, RNA integrity and post-mortem interval were not modelled as covariates.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v1.0.5 at https://github.com/elmasnuryilmaz/tdp43-soce-manuscript/releases/tag/v1.0.5.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 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r>
        <w:t xml:space="preserve"/>
      </w:r>
      <w:r>
        <w:t xml:space="preserve"/>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 in the primary SH-SY5Y model among the twelve core entry components examined event by event (Methods 2.3), with bootstrap confidence intervals; all four are skipped-exon events. </w:t>
      </w:r>
      <w:r>
        <w:rPr>
          <w:b/>
          <w:bCs/>
          <w:i/>
        </w:rPr>
        <w:t>CBARP</w:t>
      </w:r>
      <w:r>
        <w:rPr>
          <w:b/>
          <w:bCs/>
        </w:rPr>
        <w:t xml:space="preserve"> belongs to the wider nineteen-gene SOCE panel of Methods 2.9 but not to these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In the Tier 1, SOCE-machinery and positive-control columns NA means that no gene of that set carried a high-confidence call, whereas in the null column it means that the dataset has fewer than four control replicates. The CBARP junction of Section 3.5 is not counted for SH-SY5Y: the high-confidence definition requires a novel splice site carrying at least 20 knockdown reads, and the novel-site junction at this locus carried six, while the junction that changes most in SH-SY5Y uses two annotated sites and is already used in controls (17% of exon-4 donor reads).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