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One-plate Fura-2 measurements showed a lower calcium-readdition response.</w:t>
      </w:r>
    </w:p>
    <w:p>
      <w:pPr>
        <w:pStyle w:val="ListBullet"/>
      </w:pPr>
      <w:r>
        <w:t>RT-qPCR in four biological replicates showed higher calcium-regulatory mRNAs.</w:t>
      </w:r>
    </w:p>
    <w:p>
      <w:pPr>
        <w:pStyle w:val="ListBullet"/>
      </w:pPr>
      <w:r>
        <w:rPr>
          <w:i/>
        </w:rPr>
        <w:t xml:space="preserve">CBARP</w:t>
      </w:r>
      <w:r>
        <w:t xml:space="preserve"> splicing changed in five of six TDP-43-depletion RNA-seq datasets.</w:t>
      </w:r>
    </w:p>
    <w:p>
      <w:pPr>
        <w:pStyle w:val="ListBullet"/>
      </w:pPr>
      <w:r>
        <w:rPr>
          <w:i/>
        </w:rPr>
        <w:t xml:space="preserve">TRPC1</w:t>
      </w:r>
      <w:r>
        <w:t xml:space="preserve"> and </w:t>
      </w:r>
      <w:r>
        <w:rPr>
          <w:i/>
        </w:rPr>
        <w:t xml:space="preserve">SARAF</w:t>
      </w:r>
      <w:r>
        <w:t xml:space="preserve"> increased in six ALS brain regions.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2026-09-30T05:46:46Z</dcterms:created>
  <dcterms:modified xsi:type="dcterms:W3CDTF">2026-09-30T05:46:46Z</dcterms:modified>
  <cp:category/>
</cp:coreProperties>
</file>