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Handbook Page</w:t>
      </w:r>
    </w:p>
    <w:p>
      <w:pPr>
        <w:jc w:val="center"/>
      </w:pPr>
      <w:r>
        <w:t>Geopolitical Context in Which the Development of AI Takes Place</w:t>
      </w:r>
    </w:p>
    <w:p>
      <w:pPr>
        <w:jc w:val="center"/>
      </w:pPr>
      <w:r>
        <w:t>AIBS – Team 08 | Date: 17 September 2026</w:t>
      </w:r>
    </w:p>
    <w:p>
      <w:pPr>
        <w:pStyle w:val="Heading2"/>
      </w:pPr>
      <w:r>
        <w:t>A. Sub‑questions this page answers</w:t>
      </w:r>
    </w:p>
    <w:p>
      <w:r>
        <w:t>This handbook page is designed to answer the following sub‑questions:</w:t>
      </w:r>
    </w:p>
    <w:p>
      <w:r>
        <w:rPr>
          <w:sz w:val="22"/>
        </w:rPr>
        <w:t>• GQ1 – Where are leading AI models and AI‑enabled platforms developed and operated (US, EU, China, others), and what export controls, compute restrictions, or data‑sovereignty rules affect access for organizations adopting AI?</w:t>
      </w:r>
    </w:p>
    <w:p>
      <w:r>
        <w:rPr>
          <w:sz w:val="22"/>
        </w:rPr>
        <w:t>• GQ2 – How do major regulatory frameworks (e.g., EU AI Act, GDPR, Data Act; US and Chinese AI governance approaches) shape the design, deployment, and vendor selection for AI systems?</w:t>
      </w:r>
    </w:p>
    <w:p>
      <w:r>
        <w:rPr>
          <w:sz w:val="22"/>
        </w:rPr>
        <w:t>• GQ3 – What strategic risks and opportunities arise for organizations from choosing AI vendors and infrastructure based in different geopolitical regions (e.g., US vs EU vs China), in terms of supply chain resilience, regulatory compliance, data location, and long‑term pricing power?</w:t>
      </w:r>
    </w:p>
    <w:p>
      <w:pPr>
        <w:pStyle w:val="Heading2"/>
      </w:pPr>
      <w:r>
        <w:t>B. Search strategies and quality criteria applied</w:t>
      </w:r>
    </w:p>
    <w:p>
      <w:pPr>
        <w:pStyle w:val="Heading3"/>
      </w:pPr>
      <w:r>
        <w:t>B.1 Search strategies</w:t>
      </w:r>
    </w:p>
    <w:p>
      <w:r>
        <w:t>To answer GQ1–GQ3, the following search strategies were applied:</w:t>
      </w:r>
    </w:p>
    <w:p>
      <w:r>
        <w:rPr>
          <w:sz w:val="22"/>
        </w:rPr>
        <w:t>• AI capability concentration and infrastructure: "where are large AI models developed US EU China", "AI compute infrastructure cloud providers geography", "export controls AI chips models US EU".</w:t>
      </w:r>
    </w:p>
    <w:p>
      <w:r>
        <w:rPr>
          <w:sz w:val="22"/>
        </w:rPr>
        <w:t>• Regulatory frameworks: "EU AI Act summary risk based framework", "GDPR cross border data transfer AI", "EU Data Act industrial data sharing", "US AI governance approach executive order", "China AI governance regulations".</w:t>
      </w:r>
    </w:p>
    <w:p>
      <w:r>
        <w:rPr>
          <w:sz w:val="22"/>
        </w:rPr>
        <w:t>• Vendor geography and data handling: "AI platform vendor headquarters data center location", "cloud provider data residency options EU US".</w:t>
      </w:r>
    </w:p>
    <w:p>
      <w:r>
        <w:rPr>
          <w:sz w:val="22"/>
        </w:rPr>
        <w:t>• Strategic and geopolitical analyses: "geopolitical risks AI supply chains", "AI sovereignty Europe strategic autonomy".</w:t>
      </w:r>
    </w:p>
    <w:p>
      <w:r>
        <w:t>These queries were designed to surface: (1) primary regulatory texts and official summaries, (2) reputable policy and industry analyses on AI geography and infrastructure, and (3) vendor documentation on data location and residency options.</w:t>
      </w:r>
    </w:p>
    <w:p>
      <w:pPr>
        <w:pStyle w:val="Heading3"/>
      </w:pPr>
      <w:r>
        <w:t>B.2 Quality criteria and source selection</w:t>
      </w:r>
    </w:p>
    <w:p>
      <w:r>
        <w:t>Sources were evaluated using a rubric with five dimensions (0–5 scores): Authority, Recency, Specificity, Verifiability, and Bias/Transparency. The following rules were applied:</w:t>
      </w:r>
    </w:p>
    <w:p>
      <w:r>
        <w:rPr>
          <w:sz w:val="22"/>
        </w:rPr>
        <w:t>• Inclusion threshold: average score ≥ 3.5.</w:t>
      </w:r>
    </w:p>
    <w:p>
      <w:r>
        <w:rPr>
          <w:sz w:val="22"/>
        </w:rPr>
        <w:t>• For regulatory claims (AI Act, GDPR, Data Act, US/China AI governance): at least one source scoring ≥ 4 on Authority and Specificity (e.g., official EU/US texts, recognized official summaries).</w:t>
      </w:r>
    </w:p>
    <w:p>
      <w:r>
        <w:rPr>
          <w:sz w:val="22"/>
        </w:rPr>
        <w:t>• For claims about where AI models and infrastructure are developed: preference for high‑authority policy reports, recognized industry analyses, and major cloud/AI vendor documentation.</w:t>
      </w:r>
    </w:p>
    <w:p>
      <w:r>
        <w:rPr>
          <w:sz w:val="22"/>
        </w:rPr>
        <w:t>• Exclusion of: anonymous or unverifiable blogs; outdated sources (&gt; 36 months for regulatory fundamentals; &gt; 24 months for fast‑moving AI industry claims); purely promotional content without disclosed methods or data.</w:t>
      </w:r>
    </w:p>
    <w:p>
      <w:r>
        <w:t>In practice: EU regulatory claims are grounded in primary texts (e.g., Regulation 2024/1689, GDPR) or recognized official summaries. Statements about AI capability concentration rely on widely reported, high‑authority industry and policy analyses. Vendor‑geography and data‑residency claims are based on vendor websites, privacy pages, and security documentation where available.</w:t>
      </w:r>
    </w:p>
    <w:p>
      <w:pPr>
        <w:pStyle w:val="Heading2"/>
      </w:pPr>
      <w:r>
        <w:t>C. Critical review and improvement process</w:t>
      </w:r>
    </w:p>
    <w:p>
      <w:r>
        <w:rPr>
          <w:sz w:val="22"/>
        </w:rPr>
        <w:t>• Review 1 – Content completeness: Check that the page explicitly answers GQ1, GQ2, and GQ3. Improvement: Ensure each of the three sub‑questions is clearly addressed in separate sections, with direct links to implications for organizations adopting AI.</w:t>
      </w:r>
    </w:p>
    <w:p>
      <w:r>
        <w:rPr>
          <w:sz w:val="22"/>
        </w:rPr>
        <w:t>• Review 2 – Evidence quality and traceability: Check that regulatory claims are backed by high‑authority sources and geopolitical claims are plausible and cautious where direct evidence is limited. Improvement: Strengthen wording around EU AI Act obligations (risk‑based framework, potential requirements) and avoid over‑claiming about specific risk classifications without explicit textual support.</w:t>
      </w:r>
    </w:p>
    <w:p>
      <w:r>
        <w:rPr>
          <w:sz w:val="22"/>
        </w:rPr>
        <w:t>• Review 3 – Clarity and accessibility: Check that the language is accessible (CEFR B1‑readable) and free of unnecessary jargon. Improvement: Simplify complex regulatory descriptions, define key terms (e.g., data sovereignty, export controls), and use short sentences and clear structure.</w:t>
      </w:r>
    </w:p>
    <w:p>
      <w:r>
        <w:rPr>
          <w:sz w:val="22"/>
        </w:rPr>
        <w:t>• Review 4 – Geopolitical balance and nuance: Check that the page avoids simplistic "US = bad, EU = good, China = risky" framing. Improvement: Explicitly note trade‑offs in each region (e.g., US innovation and ecosystem vs data‑sovereignty concerns; EU regulatory alignment vs potential compute constraints; China's rapid AI development vs governance and access issues), and emphasize that the optimal choice depends on an organization's specific context and risk tolerance.</w:t>
      </w:r>
    </w:p>
    <w:p>
      <w:r>
        <w:t>After these iterations, the final handbook page text below is the version intended for submission.</w:t>
      </w:r>
    </w:p>
    <w:p>
      <w:pPr>
        <w:pStyle w:val="Heading2"/>
      </w:pPr>
      <w:r>
        <w:t>D. Handbook page text (final version)</w:t>
      </w:r>
    </w:p>
    <w:p>
      <w:pPr>
        <w:pStyle w:val="Heading3"/>
      </w:pPr>
      <w:r>
        <w:t>Geopolitical Context in Which the Development of AI Takes Place</w:t>
      </w:r>
    </w:p>
    <w:p>
      <w:pPr>
        <w:pStyle w:val="Heading4"/>
      </w:pPr>
      <w:r>
        <w:t>1. Introduction</w:t>
      </w:r>
    </w:p>
    <w:p>
      <w:r>
        <w:t>Artificial intelligence is not developing in a neutral, borderless space. The capabilities that power AI systems – from large foundation models to cloud compute and specialized chips – are concentrated in a few countries and regions, each with its own regulatory approach, industrial policy, and strategic interests. For any organization adopting AI, this geopolitical context shapes which technologies are available, under what conditions, and with what long‑term risks and opportunities.</w:t>
      </w:r>
    </w:p>
    <w:p>
      <w:r>
        <w:t>This page explains where AI capabilities are developed and controlled, how major regulatory frameworks influence AI design and deployment, and what strategic trade‑offs arise from choosing vendors and infrastructure based in different geopolitical regions.</w:t>
      </w:r>
    </w:p>
    <w:p>
      <w:pPr>
        <w:pStyle w:val="Heading3"/>
      </w:pPr>
      <w:r>
        <w:t>2. Where AI capabilities are developed and who controls them (GQ1)</w:t>
      </w:r>
    </w:p>
    <w:p>
      <w:r>
        <w:t>AI capabilities are geographically concentrated in three main poles: the United States, China, and the European Union, with important differences in their roles and strengths.</w:t>
      </w:r>
    </w:p>
    <w:p>
      <w:pPr>
        <w:pStyle w:val="Heading4"/>
      </w:pPr>
      <w:r>
        <w:t>United States</w:t>
      </w:r>
    </w:p>
    <w:p>
      <w:r>
        <w:rPr>
          <w:sz w:val="22"/>
        </w:rPr>
        <w:t>• The US is home to most of the largest foundation‑model developers and cloud providers.</w:t>
      </w:r>
    </w:p>
    <w:p>
      <w:r>
        <w:rPr>
          <w:sz w:val="22"/>
        </w:rPr>
        <w:t>• Leading AI research labs and technology firms are headquartered in the US, driving rapid advances in models, tools, and platforms.</w:t>
      </w:r>
    </w:p>
    <w:p>
      <w:r>
        <w:rPr>
          <w:sz w:val="22"/>
        </w:rPr>
        <w:t>• US policy increasingly treats advanced AI and semiconductor technologies as strategic assets, subject to export controls and investment screening.</w:t>
      </w:r>
    </w:p>
    <w:p>
      <w:pPr>
        <w:pStyle w:val="Heading4"/>
      </w:pPr>
      <w:r>
        <w:t>China</w:t>
      </w:r>
    </w:p>
    <w:p>
      <w:r>
        <w:rPr>
          <w:sz w:val="22"/>
        </w:rPr>
        <w:t>• China has made rapid progress in AI research, applications, and deployment, supported by strong state backing and a large domestic market.</w:t>
      </w:r>
    </w:p>
    <w:p>
      <w:r>
        <w:rPr>
          <w:sz w:val="22"/>
        </w:rPr>
        <w:t>• Chinese firms are leaders in several AI application areas (e.g., computer vision, consumer AI services).</w:t>
      </w:r>
    </w:p>
    <w:p>
      <w:r>
        <w:rPr>
          <w:sz w:val="22"/>
        </w:rPr>
        <w:t>• Access to the most advanced chips and some foreign technologies is constrained by export controls, shaping China's AI development path.</w:t>
      </w:r>
    </w:p>
    <w:p>
      <w:pPr>
        <w:pStyle w:val="Heading4"/>
      </w:pPr>
      <w:r>
        <w:t>European Union</w:t>
      </w:r>
    </w:p>
    <w:p>
      <w:r>
        <w:rPr>
          <w:sz w:val="22"/>
        </w:rPr>
        <w:t>• The EU has a strong research base and a growing AI startup ecosystem, but fewer globally dominant foundation‑model providers compared to the US and China.</w:t>
      </w:r>
    </w:p>
    <w:p>
      <w:r>
        <w:rPr>
          <w:sz w:val="22"/>
        </w:rPr>
        <w:t>• EU strategy emphasizes "human‑centric," trustworthy AI, strong data protection, and regulatory leadership (e.g., AI Act, GDPR, Data Act).</w:t>
      </w:r>
    </w:p>
    <w:p>
      <w:r>
        <w:rPr>
          <w:sz w:val="22"/>
        </w:rPr>
        <w:t>• Many EU organizations rely on US‑based cloud and model providers, raising questions about digital sovereignty and dependence.</w:t>
      </w:r>
    </w:p>
    <w:p>
      <w:pPr>
        <w:pStyle w:val="Heading4"/>
      </w:pPr>
      <w:r>
        <w:t>Export controls, compute restrictions, and data sovereignty</w:t>
      </w:r>
    </w:p>
    <w:p>
      <w:r>
        <w:rPr>
          <w:sz w:val="22"/>
        </w:rPr>
        <w:t>• Export controls: Some high‑end AI chips and technologies are subject to export licensing, primarily driven by US and allied policies. This can affect which hardware and advanced models are available in different regions and at what cost.</w:t>
      </w:r>
    </w:p>
    <w:p>
      <w:r>
        <w:rPr>
          <w:sz w:val="22"/>
        </w:rPr>
        <w:t>• Compute restrictions: Access to large‑scale compute (GPU clusters, specialized AI infrastructure) is unevenly distributed. Organizations in regions with less local compute capacity may depend on foreign cloud providers.</w:t>
      </w:r>
    </w:p>
    <w:p>
      <w:r>
        <w:rPr>
          <w:sz w:val="22"/>
        </w:rPr>
        <w:t>• Data sovereignty: Where AI systems process and store data – domestically, within a regional bloc (e.g., EU), or abroad – affects which laws apply and how much control an organization or country retains over its data.</w:t>
      </w:r>
    </w:p>
    <w:p>
      <w:r>
        <w:t>For organizations adopting AI, this means that choosing an AI system is also choosing a geopolitical and regulatory environment through the vendor's location, cloud infrastructure, and data‑flow architecture.</w:t>
      </w:r>
    </w:p>
    <w:p>
      <w:pPr>
        <w:pStyle w:val="Heading3"/>
      </w:pPr>
      <w:r>
        <w:t>3. How regulatory frameworks shape AI design and deployment (GQ2)</w:t>
      </w:r>
    </w:p>
    <w:p>
      <w:r>
        <w:t>Different regions are developing distinct regulatory approaches to AI, which directly affect how AI systems are designed, deployed, and governed.</w:t>
      </w:r>
    </w:p>
    <w:p>
      <w:pPr>
        <w:pStyle w:val="Heading4"/>
      </w:pPr>
      <w:r>
        <w:t>European Union: AI Act, GDPR, Data Act</w:t>
      </w:r>
    </w:p>
    <w:p>
      <w:pPr>
        <w:pStyle w:val="Heading5"/>
      </w:pPr>
      <w:r>
        <w:t>EU AI Act (Regulation 2024/1689)</w:t>
      </w:r>
    </w:p>
    <w:p>
      <w:r>
        <w:rPr>
          <w:sz w:val="22"/>
        </w:rPr>
        <w:t>• The AI Act applies a risk‑based framework, classifying AI systems into categories such as unacceptable risk, high‑risk, limited risk, and minimal risk.</w:t>
      </w:r>
    </w:p>
    <w:p>
      <w:r>
        <w:rPr>
          <w:sz w:val="22"/>
        </w:rPr>
        <w:t>• High‑risk AI systems (e.g., in critical infrastructure, certain safety components, some employment and law‑enforcement uses) face obligations including: formal risk management processes; data governance and quality controls; technical documentation and record‑keeping; logging, traceability, and monitoring; human oversight mechanisms; conformity assessments before deployment in some cases.</w:t>
      </w:r>
    </w:p>
    <w:p>
      <w:r>
        <w:rPr>
          <w:sz w:val="22"/>
        </w:rPr>
        <w:t>• Even for non‑high‑risk systems, transparency obligations (e.g., informing users they are interacting with an AI system) may apply.</w:t>
      </w:r>
    </w:p>
    <w:p>
      <w:r>
        <w:rPr>
          <w:sz w:val="22"/>
        </w:rPr>
        <w:t>• For organizations, this means additional design and documentation work, especially when AI influences safety‑critical or rights‑affecting decisions.</w:t>
      </w:r>
    </w:p>
    <w:p>
      <w:pPr>
        <w:pStyle w:val="Heading5"/>
      </w:pPr>
      <w:r>
        <w:t>GDPR (General Data Protection Regulation)</w:t>
      </w:r>
    </w:p>
    <w:p>
      <w:r>
        <w:rPr>
          <w:sz w:val="22"/>
        </w:rPr>
        <w:t>• The GDPR governs how personal data is collected, processed, and transferred outside the EU.</w:t>
      </w:r>
    </w:p>
    <w:p>
      <w:r>
        <w:rPr>
          <w:sz w:val="22"/>
        </w:rPr>
        <w:t>• AI systems that process personal data must comply with principles such as lawfulness, fairness, transparency, purpose limitation, data minimization, and accountability.</w:t>
      </w:r>
    </w:p>
    <w:p>
      <w:r>
        <w:rPr>
          <w:sz w:val="22"/>
        </w:rPr>
        <w:t>• Cross‑border data transfers (e.g., to the US) require additional safeguards (e.g., standard contractual clauses, binding corporate rules) and careful risk assessment.</w:t>
      </w:r>
    </w:p>
    <w:p>
      <w:pPr>
        <w:pStyle w:val="Heading5"/>
      </w:pPr>
      <w:r>
        <w:t>EU Data Act</w:t>
      </w:r>
    </w:p>
    <w:p>
      <w:r>
        <w:rPr>
          <w:sz w:val="22"/>
        </w:rPr>
        <w:t>• The Data Act introduces rules on industrial data sharing and portability.</w:t>
      </w:r>
    </w:p>
    <w:p>
      <w:r>
        <w:rPr>
          <w:sz w:val="22"/>
        </w:rPr>
        <w:t>• It affects how organizations can share operational and machine‑generated data with vendors and use it for AI training or analytics.</w:t>
      </w:r>
    </w:p>
    <w:p>
      <w:r>
        <w:rPr>
          <w:sz w:val="22"/>
        </w:rPr>
        <w:t>• The aim is to increase data availability while protecting fairness and competition in data markets.</w:t>
      </w:r>
    </w:p>
    <w:p>
      <w:pPr>
        <w:pStyle w:val="Heading4"/>
      </w:pPr>
      <w:r>
        <w:t>United States: Sectoral and evolving federal approach</w:t>
      </w:r>
    </w:p>
    <w:p>
      <w:r>
        <w:rPr>
          <w:sz w:val="22"/>
        </w:rPr>
        <w:t>• The US currently relies on a mix of sector‑specific laws, state privacy laws, and voluntary frameworks, alongside an executive order on AI that emphasizes safety, security, and innovation.</w:t>
      </w:r>
    </w:p>
    <w:p>
      <w:r>
        <w:rPr>
          <w:sz w:val="22"/>
        </w:rPr>
        <w:t>• There is less comprehensive federal AI regulation compared to the EU, but increasing scrutiny on safety, bias, and national‑security implications.</w:t>
      </w:r>
    </w:p>
    <w:p>
      <w:r>
        <w:rPr>
          <w:sz w:val="22"/>
        </w:rPr>
        <w:t>• Organizations operating in the US must navigate a patchwork of state and sector rules, plus evolving federal guidance.</w:t>
      </w:r>
    </w:p>
    <w:p>
      <w:pPr>
        <w:pStyle w:val="Heading4"/>
      </w:pPr>
      <w:r>
        <w:t>China: State‑led governance and control</w:t>
      </w:r>
    </w:p>
    <w:p>
      <w:r>
        <w:rPr>
          <w:sz w:val="22"/>
        </w:rPr>
        <w:t>• China has introduced regulations on algorithmic recommendations, deep synthesis (e.g., deepfakes), and generative AI, with strong emphasis on content control, security, and alignment with state objectives.</w:t>
      </w:r>
    </w:p>
    <w:p>
      <w:r>
        <w:rPr>
          <w:sz w:val="22"/>
        </w:rPr>
        <w:t>• Data localization requirements and security reviews affect how data can be collected, stored, and transferred.</w:t>
      </w:r>
    </w:p>
    <w:p>
      <w:r>
        <w:rPr>
          <w:sz w:val="22"/>
        </w:rPr>
        <w:t>• AI development is closely tied to national industrial policy and security priorities.</w:t>
      </w:r>
    </w:p>
    <w:p>
      <w:pPr>
        <w:pStyle w:val="Heading4"/>
      </w:pPr>
      <w:r>
        <w:t>Implications for AI design and vendor selection</w:t>
      </w:r>
    </w:p>
    <w:p>
      <w:r>
        <w:rPr>
          <w:sz w:val="22"/>
        </w:rPr>
        <w:t>• In the EU, AI systems are more likely to be designed with: explicit risk management and documentation processes; strong data protection and cross‑border transfer safeguards; built‑in human oversight and transparency features.</w:t>
      </w:r>
    </w:p>
    <w:p>
      <w:r>
        <w:rPr>
          <w:sz w:val="22"/>
        </w:rPr>
        <w:t>• Organizations selecting AI vendors must consider: whether the vendor's primary regulatory environment matches their own compliance needs; how data flows are structured (e.g., EU data residency vs cross‑border transfers); the vendor's ability to provide required documentation, audits, and contractual guarantees.</w:t>
      </w:r>
    </w:p>
    <w:p>
      <w:pPr>
        <w:pStyle w:val="Heading3"/>
      </w:pPr>
      <w:r>
        <w:t>4. Strategic risks and opportunities by region (GQ3)</w:t>
      </w:r>
    </w:p>
    <w:p>
      <w:r>
        <w:t>Choosing AI vendors and infrastructure based in different geopolitical regions involves strategic trade‑offs beyond price and functionality.</w:t>
      </w:r>
    </w:p>
    <w:p>
      <w:pPr>
        <w:pStyle w:val="Heading4"/>
      </w:pPr>
      <w:r>
        <w:t>US‑based vendors and infrastructure</w:t>
      </w:r>
    </w:p>
    <w:p>
      <w:pPr>
        <w:pStyle w:val="Heading5"/>
      </w:pPr>
      <w:r>
        <w:t>Potential advantages:</w:t>
      </w:r>
    </w:p>
    <w:p>
      <w:r>
        <w:rPr>
          <w:sz w:val="22"/>
        </w:rPr>
        <w:t>• Mature platforms and broad integration ecosystems.</w:t>
      </w:r>
    </w:p>
    <w:p>
      <w:r>
        <w:rPr>
          <w:sz w:val="22"/>
        </w:rPr>
        <w:t>• Rapid feature development and access to state‑of‑the‑art models.</w:t>
      </w:r>
    </w:p>
    <w:p>
      <w:r>
        <w:rPr>
          <w:sz w:val="22"/>
        </w:rPr>
        <w:t>• Extensive documentation and large user communities.</w:t>
      </w:r>
    </w:p>
    <w:p>
      <w:pPr>
        <w:pStyle w:val="Heading5"/>
      </w:pPr>
      <w:r>
        <w:t>Potential risks or frictions:</w:t>
      </w:r>
    </w:p>
    <w:p>
      <w:r>
        <w:rPr>
          <w:sz w:val="22"/>
        </w:rPr>
        <w:t>• Data‑sovereignty concerns if data is processed outside the organization's home region (e.g., EU data processed in the US).</w:t>
      </w:r>
    </w:p>
    <w:p>
      <w:r>
        <w:rPr>
          <w:sz w:val="22"/>
        </w:rPr>
        <w:t>• Exposure to changes in export controls, pricing, or service terms driven by US policy and corporate strategy.</w:t>
      </w:r>
    </w:p>
    <w:p>
      <w:r>
        <w:rPr>
          <w:sz w:val="22"/>
        </w:rPr>
        <w:t>• Possible misalignment with local regulatory expectations or brand narratives around data protection and digital sovereignty.</w:t>
      </w:r>
    </w:p>
    <w:p>
      <w:pPr>
        <w:pStyle w:val="Heading4"/>
      </w:pPr>
      <w:r>
        <w:t>EU‑based vendors and infrastructure</w:t>
      </w:r>
    </w:p>
    <w:p>
      <w:pPr>
        <w:pStyle w:val="Heading5"/>
      </w:pPr>
      <w:r>
        <w:t>Potential advantages:</w:t>
      </w:r>
    </w:p>
    <w:p>
      <w:r>
        <w:rPr>
          <w:sz w:val="22"/>
        </w:rPr>
        <w:t>• Stronger alignment with GDPR and EU AI Act expectations by design.</w:t>
      </w:r>
    </w:p>
    <w:p>
      <w:r>
        <w:rPr>
          <w:sz w:val="22"/>
        </w:rPr>
        <w:t>• Data residency in the EU by default, simplifying compliance for EU organizations.</w:t>
      </w:r>
    </w:p>
    <w:p>
      <w:r>
        <w:rPr>
          <w:sz w:val="22"/>
        </w:rPr>
        <w:t>• Closer cultural and regulatory proximity to European operating environments.</w:t>
      </w:r>
    </w:p>
    <w:p>
      <w:pPr>
        <w:pStyle w:val="Heading5"/>
      </w:pPr>
      <w:r>
        <w:t>Potential limitations:</w:t>
      </w:r>
    </w:p>
    <w:p>
      <w:r>
        <w:rPr>
          <w:sz w:val="22"/>
        </w:rPr>
        <w:t>• In some domains, smaller ecosystems and fewer pre‑built integrations compared to leading US platforms.</w:t>
      </w:r>
    </w:p>
    <w:p>
      <w:r>
        <w:rPr>
          <w:sz w:val="22"/>
        </w:rPr>
        <w:t>• Possible reliance on US‑based foundation models or cloud infrastructure, which can reintroduce some sovereignty questions.</w:t>
      </w:r>
    </w:p>
    <w:p>
      <w:r>
        <w:rPr>
          <w:sz w:val="22"/>
        </w:rPr>
        <w:t>• Compute and scaling constraints relative to the largest global providers, which may affect performance or roadmap speed.</w:t>
      </w:r>
    </w:p>
    <w:p>
      <w:pPr>
        <w:pStyle w:val="Heading4"/>
      </w:pPr>
      <w:r>
        <w:t>Chinese vendors and infrastructure</w:t>
      </w:r>
    </w:p>
    <w:p>
      <w:pPr>
        <w:pStyle w:val="Heading5"/>
      </w:pPr>
      <w:r>
        <w:t>Potential advantages:</w:t>
      </w:r>
    </w:p>
    <w:p>
      <w:r>
        <w:rPr>
          <w:sz w:val="22"/>
        </w:rPr>
        <w:t>• Advanced capabilities in certain AI application areas.</w:t>
      </w:r>
    </w:p>
    <w:p>
      <w:r>
        <w:rPr>
          <w:sz w:val="22"/>
        </w:rPr>
        <w:t>• Competitive pricing and strong integration with Chinese supply chains and markets.</w:t>
      </w:r>
    </w:p>
    <w:p>
      <w:pPr>
        <w:pStyle w:val="Heading5"/>
      </w:pPr>
      <w:r>
        <w:t>Potential risks or frictions:</w:t>
      </w:r>
    </w:p>
    <w:p>
      <w:r>
        <w:rPr>
          <w:sz w:val="22"/>
        </w:rPr>
        <w:t>• Significant regulatory and governance differences, especially for organizations in the EU or US.</w:t>
      </w:r>
    </w:p>
    <w:p>
      <w:r>
        <w:rPr>
          <w:sz w:val="22"/>
        </w:rPr>
        <w:t>• Data‑security and espionage concerns raised by some governments and enterprises.</w:t>
      </w:r>
    </w:p>
    <w:p>
      <w:r>
        <w:rPr>
          <w:sz w:val="22"/>
        </w:rPr>
        <w:t>• Limited access or compatibility in some markets due to sanctions, export controls, or corporate policies.</w:t>
      </w:r>
    </w:p>
    <w:p>
      <w:pPr>
        <w:pStyle w:val="Heading4"/>
      </w:pPr>
      <w:r>
        <w:t>Strategic considerations for organizations</w:t>
      </w:r>
    </w:p>
    <w:p>
      <w:r>
        <w:rPr>
          <w:sz w:val="22"/>
        </w:rPr>
        <w:t>• Supply chain resilience: Dependence on a single foreign provider or region can expose organizations to service disruptions, policy changes, or price shifts beyond their control.</w:t>
      </w:r>
    </w:p>
    <w:p>
      <w:r>
        <w:rPr>
          <w:sz w:val="22"/>
        </w:rPr>
        <w:t>• Regulatory compliance: Choosing vendors whose primary regulatory environment aligns with the organization's can reduce compliance costs and legal risk.</w:t>
      </w:r>
    </w:p>
    <w:p>
      <w:r>
        <w:rPr>
          <w:sz w:val="22"/>
        </w:rPr>
        <w:t>• Brand and trust: For some organizations, using locally or regionally based AI infrastructure supports brand narratives around data protection, sovereignty, and trust.</w:t>
      </w:r>
    </w:p>
    <w:p>
      <w:r>
        <w:rPr>
          <w:sz w:val="22"/>
        </w:rPr>
        <w:t>• Long‑term pricing power: Concentration of AI capabilities in a few large providers can affect bargaining power and future costs.</w:t>
      </w:r>
    </w:p>
    <w:p>
      <w:r>
        <w:t>The optimal choice is not "US vs EU vs China" in the abstract, but which combination of vendors, regions, and data‑flow architectures best matches an organization's risk tolerance, regulatory environment, and strategic goals.</w:t>
      </w:r>
    </w:p>
    <w:p>
      <w:pPr>
        <w:pStyle w:val="Heading3"/>
      </w:pPr>
      <w:r>
        <w:t>5. Implications for AI adoption strategies</w:t>
      </w:r>
    </w:p>
    <w:p>
      <w:r>
        <w:rPr>
          <w:sz w:val="22"/>
        </w:rPr>
        <w:t>• Vendor selection: Treat vendor location, data‑center locations, and regulatory alignment as explicit selection criteria, alongside functionality and cost. Request clear information on data residency, subprocessors, and compliance certifications.</w:t>
      </w:r>
    </w:p>
    <w:p>
      <w:r>
        <w:rPr>
          <w:sz w:val="22"/>
        </w:rPr>
        <w:t>• Architecture and data flows: Prefer architectures that keep sensitive or regulated data within desired jurisdictions (e.g., EU data residency for EU organizations). Use contractual and technical safeguards for any necessary cross‑border data transfers.</w:t>
      </w:r>
    </w:p>
    <w:p>
      <w:r>
        <w:rPr>
          <w:sz w:val="22"/>
        </w:rPr>
        <w:t>• Risk management: Include geopolitical risks (export controls, regulatory changes, provider concentration) in AI risk assessments. Consider multi‑vendor or multi‑region strategies to reduce dependence on a single provider or jurisdiction.</w:t>
      </w:r>
    </w:p>
    <w:p>
      <w:r>
        <w:rPr>
          <w:sz w:val="22"/>
        </w:rPr>
        <w:t>• Compliance and governance: Align AI governance frameworks with the strictest applicable regulations (e.g., EU AI Act and GDPR for EU organizations), even when using non‑EU vendors. Maintain documentation and audit trails to demonstrate compliance with relevant regulatory requirements.</w:t>
      </w:r>
    </w:p>
    <w:p>
      <w:r>
        <w:t>In this way, geopolitical and regulatory considerations become part of the core AI adoption strategy, not an afterthought.</w:t>
      </w:r>
    </w:p>
    <w:p>
      <w:pPr>
        <w:pStyle w:val="Heading3"/>
      </w:pPr>
      <w:r>
        <w:t>6. Closing note for the handbook</w:t>
      </w:r>
    </w:p>
    <w:p>
      <w:r>
        <w:t>This page establishes that the development and deployment of AI are deeply shaped by geography, regulation, and power. AI capabilities are concentrated in a few regions, each with distinct regulatory approaches and strategic interests. For organizations adopting AI, these factors influence:</w:t>
      </w:r>
    </w:p>
    <w:p>
      <w:r>
        <w:rPr>
          <w:sz w:val="22"/>
        </w:rPr>
        <w:t>• Which vendors and technologies are viable.</w:t>
      </w:r>
    </w:p>
    <w:p>
      <w:r>
        <w:rPr>
          <w:sz w:val="22"/>
        </w:rPr>
        <w:t>• What compliance work is required.</w:t>
      </w:r>
    </w:p>
    <w:p>
      <w:r>
        <w:rPr>
          <w:sz w:val="22"/>
        </w:rPr>
        <w:t>• How realistic certain assumptions (e.g., about cost, data handling, or long‑term stability) really are.</w:t>
      </w:r>
    </w:p>
    <w:p>
      <w:r>
        <w:t>Subsequent pages in this handbook build on this foundation by examining specific AI use cases, adoption barriers, and implementation patterns in different organizational and sectoral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