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Requirements Document (PRD)</w:t>
      </w:r>
    </w:p>
    <w:p>
      <w:pPr>
        <w:jc w:val="center"/>
      </w:pPr>
      <w:r>
        <w:t>Agentic Research Assistant for the Giesen AI‑Adoption Handbook</w:t>
      </w:r>
    </w:p>
    <w:p>
      <w:pPr>
        <w:jc w:val="center"/>
      </w:pPr>
      <w:r>
        <w:t>Version: 1.0 | Date: 17 September 2026 | Project: AIBS – Team 08</w:t>
      </w:r>
    </w:p>
    <w:p>
      <w:pPr>
        <w:pStyle w:val="Heading2"/>
      </w:pPr>
      <w:r>
        <w:t>1. Purpose and Scope</w:t>
      </w:r>
    </w:p>
    <w:p>
      <w:r>
        <w:t>This PRD defines the requirements for an agentic research assistant that produces evidence‑based handbook pages answering the main research question:</w:t>
      </w:r>
    </w:p>
    <w:p>
      <w:r>
        <w:t>"Now that Giesen has scaled into a larger production facility, what would it take for a family‑owned precision manufacturer of its size to use AI‑assisted tools to keep production lead times reliable, building on HAN's own digital‑twin fieldlab work, without hiring a dedicated data or planning specialist?"</w:t>
      </w:r>
    </w:p>
    <w:p>
      <w:r>
        <w:t>The platform must function as an autonomous research assistant that:</w:t>
      </w:r>
    </w:p>
    <w:p>
      <w:r>
        <w:rPr>
          <w:sz w:val="22"/>
        </w:rPr>
        <w:t>• Discovers, retrieves, and evaluates sources.</w:t>
      </w:r>
    </w:p>
    <w:p>
      <w:r>
        <w:rPr>
          <w:sz w:val="22"/>
        </w:rPr>
        <w:t>• Synthesizes evidence into structured handbook pages.</w:t>
      </w:r>
    </w:p>
    <w:p>
      <w:r>
        <w:rPr>
          <w:sz w:val="22"/>
        </w:rPr>
        <w:t>• Applies explicit quality criteria and geopolitical/regulatory filters.</w:t>
      </w:r>
    </w:p>
    <w:p>
      <w:r>
        <w:rPr>
          <w:sz w:val="22"/>
        </w:rPr>
        <w:t>• Produces outputs that are traceable, citable, and fit for publication.</w:t>
      </w:r>
    </w:p>
    <w:p>
      <w:pPr>
        <w:pStyle w:val="Heading2"/>
      </w:pPr>
      <w:r>
        <w:t>2. Users and Stakeholders</w:t>
      </w:r>
    </w:p>
    <w:p>
      <w:pPr>
        <w:pStyle w:val="Heading3"/>
      </w:pPr>
      <w:r>
        <w:t>Primary users:</w:t>
      </w:r>
    </w:p>
    <w:p>
      <w:r>
        <w:rPr>
          <w:sz w:val="22"/>
        </w:rPr>
        <w:t>• AIBS student research team (Team 08): authors and editors of the handbook.</w:t>
      </w:r>
    </w:p>
    <w:p>
      <w:r>
        <w:rPr>
          <w:sz w:val="22"/>
        </w:rPr>
        <w:t>• Course lecturers / reviewers: assessors of the handbook's quality and rigour.</w:t>
      </w:r>
    </w:p>
    <w:p>
      <w:pPr>
        <w:pStyle w:val="Heading3"/>
      </w:pPr>
      <w:r>
        <w:t>Secondary stakeholders:</w:t>
      </w:r>
    </w:p>
    <w:p>
      <w:r>
        <w:rPr>
          <w:sz w:val="22"/>
        </w:rPr>
        <w:t>• Giesen Coffee Roasters (if confirmed as partner): subject of the case, beneficiary of insights.</w:t>
      </w:r>
    </w:p>
    <w:p>
      <w:r>
        <w:rPr>
          <w:sz w:val="22"/>
        </w:rPr>
        <w:t>• HAN Lean QRM Centrum / Lectoraat Lean: owners of the digital‑twin fieldlab context.</w:t>
      </w:r>
    </w:p>
    <w:p>
      <w:r>
        <w:rPr>
          <w:sz w:val="22"/>
        </w:rPr>
        <w:t>• Comparable Gelderland precision manufacturers: archetype audience if Giesen is not confirmed.</w:t>
      </w:r>
    </w:p>
    <w:p>
      <w:pPr>
        <w:pStyle w:val="Heading2"/>
      </w:pPr>
      <w:r>
        <w:t>3. Problem Statement and Opportunity</w:t>
      </w:r>
    </w:p>
    <w:p>
      <w:pPr>
        <w:pStyle w:val="Heading3"/>
      </w:pPr>
      <w:r>
        <w:t>Problem:</w:t>
      </w:r>
    </w:p>
    <w:p>
      <w:r>
        <w:t>SMEs like Giesen face a diffusion gap: AI and digital‑twin technologies exist, and in Giesen's case a HAN fieldlab already addresses part of the technical problem. However, the business‑decision layer – whether, where, and how cheaply to adopt AI‑assisted production‑reliability tools without new headcount – is unclear. Existing information is fragmented across statistics, regulations, vendor materials, and case studies.</w:t>
      </w:r>
    </w:p>
    <w:p>
      <w:pPr>
        <w:pStyle w:val="Heading3"/>
      </w:pPr>
      <w:r>
        <w:t>Opportunity:</w:t>
      </w:r>
    </w:p>
    <w:p>
      <w:r>
        <w:t>An agentic platform can systematically:</w:t>
      </w:r>
    </w:p>
    <w:p>
      <w:r>
        <w:rPr>
          <w:sz w:val="22"/>
        </w:rPr>
        <w:t>• Aggregate and evaluate evidence on AI adoption, digital twins, and regulatory obligations.</w:t>
      </w:r>
    </w:p>
    <w:p>
      <w:r>
        <w:rPr>
          <w:sz w:val="22"/>
        </w:rPr>
        <w:t>• Map vendor landscapes and geopolitical/data‑sovereignty implications.</w:t>
      </w:r>
    </w:p>
    <w:p>
      <w:r>
        <w:rPr>
          <w:sz w:val="22"/>
        </w:rPr>
        <w:t>• Produce structured, citable handbook pages that support a clear adoption decision for Giesen and comparable firms.</w:t>
      </w:r>
    </w:p>
    <w:p>
      <w:pPr>
        <w:pStyle w:val="Heading2"/>
      </w:pPr>
      <w:r>
        <w:t>4. Agentic Capabilities (Why an Agent, Not a Non‑Agentic Tool?)</w:t>
      </w:r>
    </w:p>
    <w:p>
      <w:r>
        <w:t>The PRD states: "The agentic platform must function as an autonomous research assistant." The following capabilities make an agent uniquely suited:</w:t>
      </w:r>
    </w:p>
    <w:p>
      <w:r>
        <w:rPr>
          <w:sz w:val="22"/>
        </w:rPr>
        <w:t>• Goal decomposition and tool orchestration: Break "raw source list → published handbook page" into search, fetch, extract, validate, draft, and cite steps, calling the right tools at each stage.</w:t>
      </w:r>
    </w:p>
    <w:p>
      <w:r>
        <w:rPr>
          <w:sz w:val="22"/>
        </w:rPr>
        <w:t>• Memory and context management: Retain constraints (Giesen's size, sector, EU AI Act, "no new headcount/infrastructure") across long documents and multi‑step reasoning.</w:t>
      </w:r>
    </w:p>
    <w:p>
      <w:r>
        <w:rPr>
          <w:sz w:val="22"/>
        </w:rPr>
        <w:t>• Self‑checking and recovery: Detect missing fields, low‑confidence claims, or broken citations and re‑run targeted searches or ask clarifying questions.</w:t>
      </w:r>
    </w:p>
    <w:p>
      <w:r>
        <w:rPr>
          <w:sz w:val="22"/>
        </w:rPr>
        <w:t>• Auditability: Log decisions, sources, and confidence scores so the research team can trace how a claim was derived.</w:t>
      </w:r>
    </w:p>
    <w:p>
      <w:r>
        <w:t>These properties directly reduce pain points like fragmented workflows, inconsistent citation quality, and hallucinated facts.</w:t>
      </w:r>
    </w:p>
    <w:p>
      <w:pPr>
        <w:pStyle w:val="Heading2"/>
      </w:pPr>
      <w:r>
        <w:t>5. Functional Requirements</w:t>
      </w:r>
    </w:p>
    <w:p>
      <w:r>
        <w:t>The user journey from raw source to a published handbook page comprises four distinct steps. For each step, the platform must support:</w:t>
      </w:r>
    </w:p>
    <w:p>
      <w:pPr>
        <w:pStyle w:val="Heading3"/>
      </w:pPr>
      <w:r>
        <w:t>Step 1 – Ingest and retrieve sources</w:t>
      </w:r>
    </w:p>
    <w:p>
      <w:r>
        <w:rPr>
          <w:sz w:val="22"/>
        </w:rPr>
        <w:t>• Accept a list of seed queries, URLs, or documents (e.g., CBS pages, HAN fieldlab materials, EU AI Act texts).</w:t>
      </w:r>
    </w:p>
    <w:p>
      <w:r>
        <w:rPr>
          <w:sz w:val="22"/>
        </w:rPr>
        <w:t>• Execute web searches with logged queries.</w:t>
      </w:r>
    </w:p>
    <w:p>
      <w:r>
        <w:rPr>
          <w:sz w:val="22"/>
        </w:rPr>
        <w:t>• Fetch and store full text or structured extracts from selected URLs.</w:t>
      </w:r>
    </w:p>
    <w:p>
      <w:r>
        <w:rPr>
          <w:sz w:val="22"/>
        </w:rPr>
        <w:t>• Tag each source with metadata: URL, title, publisher, date, type (regulation, statistic, vendor doc, news, etc.).</w:t>
      </w:r>
    </w:p>
    <w:p>
      <w:pPr>
        <w:pStyle w:val="Heading3"/>
      </w:pPr>
      <w:r>
        <w:t>Step 2 – Evaluate and score sources</w:t>
      </w:r>
    </w:p>
    <w:p>
      <w:r>
        <w:rPr>
          <w:sz w:val="22"/>
        </w:rPr>
        <w:t>• Apply the source‑selection criteria (authority, recency, specificity, verifiability, bias/transparency).</w:t>
      </w:r>
    </w:p>
    <w:p>
      <w:r>
        <w:rPr>
          <w:sz w:val="22"/>
        </w:rPr>
        <w:t>• Compute a 0–5 rubric score per dimension and an average score.</w:t>
      </w:r>
    </w:p>
    <w:p>
      <w:r>
        <w:rPr>
          <w:sz w:val="22"/>
        </w:rPr>
        <w:t>• Flag sources below the inclusion threshold (average &lt; 3.5) for exclusion or "low‑quality" labeling.</w:t>
      </w:r>
    </w:p>
    <w:p>
      <w:r>
        <w:rPr>
          <w:sz w:val="22"/>
        </w:rPr>
        <w:t>• For key claims (adoption stats, legal obligations, cost figures), ensure at least one source scores ≥ 4 on Authority and Specificity.</w:t>
      </w:r>
    </w:p>
    <w:p>
      <w:pPr>
        <w:pStyle w:val="Heading3"/>
      </w:pPr>
      <w:r>
        <w:t>Step 3 – Draft structured handbook pages</w:t>
      </w:r>
    </w:p>
    <w:p>
      <w:r>
        <w:rPr>
          <w:sz w:val="22"/>
        </w:rPr>
        <w:t>• Generate draft pages for each theme (Problem &amp; audience; Geopolitics &amp; vendor models; Trust &amp; AI safety; SME knowledge gaps; AI use cases; Successful implementations).</w:t>
      </w:r>
    </w:p>
    <w:p>
      <w:r>
        <w:rPr>
          <w:sz w:val="22"/>
        </w:rPr>
        <w:t>• Ensure each section explicitly answers the corresponding external and internal sub‑questions.</w:t>
      </w:r>
    </w:p>
    <w:p>
      <w:r>
        <w:rPr>
          <w:sz w:val="22"/>
        </w:rPr>
        <w:t>• Include: an evidence summary (bullet points with citations), a short narrative section (plain language, CEFR B1‑readable), and a reference list with full URLs and rubric scores.</w:t>
      </w:r>
    </w:p>
    <w:p>
      <w:r>
        <w:rPr>
          <w:sz w:val="22"/>
        </w:rPr>
        <w:t>• Apply translation for Dutch sources where needed, with a named owner for the translation step.</w:t>
      </w:r>
    </w:p>
    <w:p>
      <w:pPr>
        <w:pStyle w:val="Heading3"/>
      </w:pPr>
      <w:r>
        <w:t>Step 4 – Validate and prepare for publication</w:t>
      </w:r>
    </w:p>
    <w:p>
      <w:r>
        <w:rPr>
          <w:sz w:val="22"/>
        </w:rPr>
        <w:t>• Run automated checks: citation coverage rate (% of factual claims with at least one verifiable source), hallucination flag rate (% of claims marked "low confidence" or failing cross‑check), completeness score (rubric‑based 0–5 score for required sections).</w:t>
      </w:r>
    </w:p>
    <w:p>
      <w:r>
        <w:rPr>
          <w:sz w:val="22"/>
        </w:rPr>
        <w:t>• Produce a "quality report" per page: source table with rubric scores, list of low‑confidence claims for human review, suggested edits or additional searches.</w:t>
      </w:r>
    </w:p>
    <w:p>
      <w:r>
        <w:rPr>
          <w:sz w:val="22"/>
        </w:rPr>
        <w:t>• Export the page in a Word‑compatible format with embedded citations and references.</w:t>
      </w:r>
    </w:p>
    <w:p>
      <w:pPr>
        <w:pStyle w:val="Heading2"/>
      </w:pPr>
      <w:r>
        <w:t>6. Non‑Functional Requirements</w:t>
      </w:r>
    </w:p>
    <w:p>
      <w:r>
        <w:rPr>
          <w:sz w:val="22"/>
        </w:rPr>
        <w:t>• Accuracy and trustworthiness: Prioritize primary sources (regulations, official statistics, vendor docs). Minimize hallucinations via retrieval‑augmentation and cross‑checking.</w:t>
      </w:r>
    </w:p>
    <w:p>
      <w:r>
        <w:rPr>
          <w:sz w:val="22"/>
        </w:rPr>
        <w:t>• Transparency and traceability: Every claim must be traceable to at least one source in the evidence table. The system must log queries, sources, and scoring decisions.</w:t>
      </w:r>
    </w:p>
    <w:p>
      <w:r>
        <w:rPr>
          <w:sz w:val="22"/>
        </w:rPr>
        <w:t>• Privacy and ethics: No company is approached before consent and anonymisation text is signed off. No interview material goes through a free‑tier AI tool. Giesen's existing relationship with HAN does not exempt the team from these rules.</w:t>
      </w:r>
    </w:p>
    <w:p>
      <w:r>
        <w:rPr>
          <w:sz w:val="22"/>
        </w:rPr>
        <w:t>• Usability: Outputs must be understandable by non‑technical stakeholders (lecturers, Giesen managers). Language should be clear, concise, and avoid unnecessary jargon.</w:t>
      </w:r>
    </w:p>
    <w:p>
      <w:r>
        <w:rPr>
          <w:sz w:val="22"/>
        </w:rPr>
        <w:t>• Extensibility: The platform should support additional themes or sub‑questions without major re‑engineering. New data sources (e.g., additional CBS datasets) should be integrable.</w:t>
      </w:r>
    </w:p>
    <w:p>
      <w:pPr>
        <w:pStyle w:val="Heading2"/>
      </w:pPr>
      <w:r>
        <w:t>7. Output Qualities and Measurable Metrics</w:t>
      </w:r>
    </w:p>
    <w:p>
      <w:r>
        <w:t>The PRD describes "Output Qualities" for a successful handbook page. The following metrics indicate the platform itself is producing successful outputs, reducing pain points, and mitigating risks:</w:t>
      </w:r>
    </w:p>
    <w:p>
      <w:r>
        <w:t>Citation coverage rate:</w:t>
      </w:r>
    </w:p>
    <w:p>
      <w:r>
        <w:rPr>
          <w:sz w:val="22"/>
        </w:rPr>
        <w:t>• Definition: % of factual claims with at least one verifiable source</w:t>
      </w:r>
    </w:p>
    <w:p>
      <w:r>
        <w:rPr>
          <w:sz w:val="22"/>
        </w:rPr>
        <w:t>• Target: ≥ 95%</w:t>
      </w:r>
    </w:p>
    <w:p>
      <w:r>
        <w:rPr>
          <w:sz w:val="22"/>
        </w:rPr>
        <w:t>• Frequency: Per page; aggregated weekly</w:t>
      </w:r>
    </w:p>
    <w:p>
      <w:r>
        <w:t>Hallucination flag rate:</w:t>
      </w:r>
    </w:p>
    <w:p>
      <w:r>
        <w:rPr>
          <w:sz w:val="22"/>
        </w:rPr>
        <w:t>• Definition: % of claims failing cross‑check or marked "low confidence"</w:t>
      </w:r>
    </w:p>
    <w:p>
      <w:r>
        <w:rPr>
          <w:sz w:val="22"/>
        </w:rPr>
        <w:t>• Target: ≤ 2–3% per page</w:t>
      </w:r>
    </w:p>
    <w:p>
      <w:r>
        <w:rPr>
          <w:sz w:val="22"/>
        </w:rPr>
        <w:t>• Frequency: Per page; weekly trend monitoring; alerts if spike occurs</w:t>
      </w:r>
    </w:p>
    <w:p>
      <w:r>
        <w:t>Source diversity score:</w:t>
      </w:r>
    </w:p>
    <w:p>
      <w:r>
        <w:rPr>
          <w:sz w:val="22"/>
        </w:rPr>
        <w:t>• Definition: Number of independent, high‑quality sources per claim (e.g., ≥ 2 for cost figures; ≥ 1 primary regulation for legal claims)</w:t>
      </w:r>
    </w:p>
    <w:p>
      <w:r>
        <w:rPr>
          <w:sz w:val="22"/>
        </w:rPr>
        <w:t>• Target: ≥ 2 independent sources for key adoption/cost claims</w:t>
      </w:r>
    </w:p>
    <w:p>
      <w:r>
        <w:rPr>
          <w:sz w:val="22"/>
        </w:rPr>
        <w:t>• Frequency: Per page</w:t>
      </w:r>
    </w:p>
    <w:p>
      <w:r>
        <w:t>Completeness score:</w:t>
      </w:r>
    </w:p>
    <w:p>
      <w:r>
        <w:rPr>
          <w:sz w:val="22"/>
        </w:rPr>
        <w:t>• Definition: Rubric‑based score (0–5) for required sections (context, sub‑questions answered, evidence table, risks, references)</w:t>
      </w:r>
    </w:p>
    <w:p>
      <w:r>
        <w:rPr>
          <w:sz w:val="22"/>
        </w:rPr>
        <w:t>• Target: ≥ 4 average across pages</w:t>
      </w:r>
    </w:p>
    <w:p>
      <w:r>
        <w:rPr>
          <w:sz w:val="22"/>
        </w:rPr>
        <w:t>• Frequency: Per page</w:t>
      </w:r>
    </w:p>
    <w:p>
      <w:r>
        <w:t>Human edit distance:</w:t>
      </w:r>
    </w:p>
    <w:p>
      <w:r>
        <w:rPr>
          <w:sz w:val="22"/>
        </w:rPr>
        <w:t>• Definition: % of tokens changed by human editors post‑draft (proxy for draft quality)</w:t>
      </w:r>
    </w:p>
    <w:p>
      <w:r>
        <w:rPr>
          <w:sz w:val="22"/>
        </w:rPr>
        <w:t>• Target: Reduce over time; initial baseline recorded in Week 3</w:t>
      </w:r>
    </w:p>
    <w:p>
      <w:r>
        <w:rPr>
          <w:sz w:val="22"/>
        </w:rPr>
        <w:t>• Frequency: Per page; trend over the project</w:t>
      </w:r>
    </w:p>
    <w:p>
      <w:r>
        <w:t>Turnaround time:</w:t>
      </w:r>
    </w:p>
    <w:p>
      <w:r>
        <w:rPr>
          <w:sz w:val="22"/>
        </w:rPr>
        <w:t>• Definition: Median time from "raw source list" to "draft page"</w:t>
      </w:r>
    </w:p>
    <w:p>
      <w:r>
        <w:rPr>
          <w:sz w:val="22"/>
        </w:rPr>
        <w:t>• Target: &lt; 10 minutes for standard topics</w:t>
      </w:r>
    </w:p>
    <w:p>
      <w:r>
        <w:rPr>
          <w:sz w:val="22"/>
        </w:rPr>
        <w:t>• Frequency: Per page; monitored weekly</w:t>
      </w:r>
    </w:p>
    <w:p>
      <w:pPr>
        <w:pStyle w:val="Heading2"/>
      </w:pPr>
      <w:r>
        <w:t>8. Assumptions and Consequences if False</w:t>
      </w:r>
    </w:p>
    <w:p>
      <w:r>
        <w:t>Assumption: The LLM powering our agent has a large enough context window to digest long, dense documents (like EU AI Act summaries) without losing detail.</w:t>
      </w:r>
    </w:p>
    <w:p>
      <w:pPr>
        <w:pStyle w:val="Heading3"/>
      </w:pPr>
      <w:r>
        <w:t>Immediate consequence if false:</w:t>
      </w:r>
    </w:p>
    <w:p>
      <w:r>
        <w:rPr>
          <w:sz w:val="22"/>
        </w:rPr>
        <w:t>• The agent cannot reliably ingest full EU AI Act summaries or long vendor whitepapers in one pass, increasing the risk of missed obligations or misinterpretation.</w:t>
      </w:r>
    </w:p>
    <w:p>
      <w:r>
        <w:rPr>
          <w:sz w:val="22"/>
        </w:rPr>
        <w:t>• Core functionality degrades to chunked retrieval + summarization, which raises hallucination risk and requires explicit retrieval‑augmentation (RAG), chunking strategies, and consistency checks.</w:t>
      </w:r>
    </w:p>
    <w:p>
      <w:r>
        <w:rPr>
          <w:sz w:val="22"/>
        </w:rPr>
        <w:t>• Additional pre‑processing is required (summarize → extract obligations → store in a knowledge base) before the agent can reason safely, changing the MVP scope and timeline.</w:t>
      </w:r>
    </w:p>
    <w:p>
      <w:pPr>
        <w:pStyle w:val="Heading2"/>
      </w:pPr>
      <w:r>
        <w:t>9. Open Questions, Owners, and Next Steps</w:t>
      </w:r>
    </w:p>
    <w:p>
      <w:r>
        <w:t>Financial hallucination (cost figures)</w:t>
      </w:r>
    </w:p>
    <w:p>
      <w:r>
        <w:t>Owner: Research lead / data analyst</w:t>
      </w:r>
    </w:p>
    <w:p>
      <w:r>
        <w:rPr>
          <w:sz w:val="22"/>
        </w:rPr>
        <w:t>• Build a small benchmark set of 20–30 cost claims with ground truth from vendor pages/quotes.</w:t>
      </w:r>
    </w:p>
    <w:p>
      <w:r>
        <w:rPr>
          <w:sz w:val="22"/>
        </w:rPr>
        <w:t>• Run the agent; measure hallucination flag rate and edit distance.</w:t>
      </w:r>
    </w:p>
    <w:p>
      <w:r>
        <w:rPr>
          <w:sz w:val="22"/>
        </w:rPr>
        <w:t>• Iterate prompts and retrieval strategies.</w:t>
      </w:r>
    </w:p>
    <w:p>
      <w:r>
        <w:t>API limits (search/fetch/citation tools)</w:t>
      </w:r>
    </w:p>
    <w:p>
      <w:r>
        <w:t>Owner: Engineering lead</w:t>
      </w:r>
    </w:p>
    <w:p>
      <w:r>
        <w:rPr>
          <w:sz w:val="22"/>
        </w:rPr>
        <w:t>• Load‑test with realistic daily volumes.</w:t>
      </w:r>
    </w:p>
    <w:p>
      <w:r>
        <w:rPr>
          <w:sz w:val="22"/>
        </w:rPr>
        <w:t>• Implement back‑off, caching, and fallback sources.</w:t>
      </w:r>
    </w:p>
    <w:p>
      <w:r>
        <w:rPr>
          <w:sz w:val="22"/>
        </w:rPr>
        <w:t>• Document rate‑limit thresholds in the runbook.</w:t>
      </w:r>
    </w:p>
    <w:p>
      <w:r>
        <w:t>Decision‑maker for Giesen (who signs off)</w:t>
      </w:r>
    </w:p>
    <w:p>
      <w:r>
        <w:t>Owner: Project sponsor / stakeholder manager</w:t>
      </w:r>
    </w:p>
    <w:p>
      <w:r>
        <w:rPr>
          <w:sz w:val="22"/>
        </w:rPr>
        <w:t>• Map decision rights across Giesen and, if relevant, Coffee Growth Group or other group structures.</w:t>
      </w:r>
    </w:p>
    <w:p>
      <w:r>
        <w:rPr>
          <w:sz w:val="22"/>
        </w:rPr>
        <w:t>• Confirm whether group IT/data capabilities exist that Giesen could leverage.</w:t>
      </w:r>
    </w:p>
    <w:p>
      <w:r>
        <w:rPr>
          <w:sz w:val="22"/>
        </w:rPr>
        <w:t>• Update the "no new headcount/infrastructure" constraint accordingly.</w:t>
      </w:r>
    </w:p>
    <w:p>
      <w:pPr>
        <w:pStyle w:val="Heading2"/>
      </w:pPr>
      <w:r>
        <w:t>10. Prioritization for Initial Release (MVP)</w:t>
      </w:r>
    </w:p>
    <w:p>
      <w:r>
        <w:rPr>
          <w:sz w:val="22"/>
        </w:rPr>
        <w:t>• 1. Ingest + retrieve (fetch sources, extract key fields) – must work reliably.</w:t>
      </w:r>
    </w:p>
    <w:p>
      <w:r>
        <w:rPr>
          <w:sz w:val="22"/>
        </w:rPr>
        <w:t>• 2. Draft with citations (produce structured page + reference list) – core value.</w:t>
      </w:r>
    </w:p>
    <w:p>
      <w:r>
        <w:rPr>
          <w:sz w:val="22"/>
        </w:rPr>
        <w:t>• 3. Validate (auto cross‑check, confidence flags) – high impact on trust; include basic checks in MVP.</w:t>
      </w:r>
    </w:p>
    <w:p>
      <w:r>
        <w:rPr>
          <w:sz w:val="22"/>
        </w:rPr>
        <w:t>• 4. Publish workflow (versioning, approvals) – can be manual at first; automate later.</w:t>
      </w:r>
    </w:p>
    <w:p>
      <w:pPr>
        <w:pStyle w:val="Heading2"/>
      </w:pPr>
      <w:r>
        <w:t>11. Constraints and Guardrails</w:t>
      </w:r>
    </w:p>
    <w:p>
      <w:r>
        <w:rPr>
          <w:sz w:val="22"/>
        </w:rPr>
        <w:t>• No direct company contact before consent and anonymisation approval.</w:t>
      </w:r>
    </w:p>
    <w:p>
      <w:r>
        <w:rPr>
          <w:sz w:val="22"/>
        </w:rPr>
        <w:t>• No use of free‑tier AI tools for confidential interview material.</w:t>
      </w:r>
    </w:p>
    <w:p>
      <w:r>
        <w:rPr>
          <w:sz w:val="22"/>
        </w:rPr>
        <w:t>• All external sub‑questions must be answerable without firm access; field research supplies the case, not the foundation.</w:t>
      </w:r>
    </w:p>
    <w:p>
      <w:r>
        <w:rPr>
          <w:sz w:val="22"/>
        </w:rPr>
        <w:t>• Dutch sources must be processed via a named translation step; language must not determine who on the team can do research.</w:t>
      </w:r>
    </w:p>
    <w:p>
      <w:pPr>
        <w:pStyle w:val="Heading2"/>
      </w:pPr>
      <w:r>
        <w:t>12. Success Criteria for the Project</w:t>
      </w:r>
    </w:p>
    <w:p>
      <w:r>
        <w:rPr>
          <w:sz w:val="22"/>
        </w:rPr>
        <w:t>• The handbook contains six thematic pages, each explicitly tied to the twelve sub‑questions.</w:t>
      </w:r>
    </w:p>
    <w:p>
      <w:r>
        <w:rPr>
          <w:sz w:val="22"/>
        </w:rPr>
        <w:t>• Every page meets the quality thresholds (citation coverage ≥ 95%, completeness score ≥ 4, hallucination flag rate ≤ 3%).</w:t>
      </w:r>
    </w:p>
    <w:p>
      <w:r>
        <w:rPr>
          <w:sz w:val="22"/>
        </w:rPr>
        <w:t>• The geopolitical‑context page clearly answers GQ1–GQ3 with high‑authority sources and a visible rubric.</w:t>
      </w:r>
    </w:p>
    <w:p>
      <w:r>
        <w:rPr>
          <w:sz w:val="22"/>
        </w:rPr>
        <w:t>• The final recommendation on "no new headcount/infrastructure" is evidence‑based, traceable, and understandable by non‑technical stakeholders.</w:t>
      </w:r>
    </w:p>
    <w:p>
      <w:r>
        <w:rPr>
          <w:sz w:val="22"/>
        </w:rPr>
        <w:t>• The process respects all ethical and consent guardrails.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