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Research Proposal – Week 2 AIBS</w:t>
      </w:r>
    </w:p>
    <w:p>
      <w:pPr>
        <w:jc w:val="center"/>
      </w:pPr>
      <w:r>
        <w:t>AI‑Assisted Production‑Reliability for Giesen Coffee Roasters</w:t>
      </w:r>
    </w:p>
    <w:p>
      <w:r>
        <w:t>AIBS · Team 08 · 17 September 2026</w:t>
      </w:r>
    </w:p>
    <w:p>
      <w:pPr>
        <w:pStyle w:val="Heading2"/>
      </w:pPr>
      <w:r>
        <w:t>1. Target Audience and Decision Context</w:t>
      </w:r>
    </w:p>
    <w:p>
      <w:r>
        <w:t>Giesen Coffee Roasters (Giesen Roasting Solutions since 2025) is a family‑owned manufacturer of professional coffee‑roasting machines, headquartered in Ulft, Gelderland, with a new purpose‑built production facility in nearby Dinxperlo. The company started as a metalworking business in the 1980s; the Giesen family redirected the company in 2006 to manufacture coffee roasters exclusively. It is family‑run, with roughly 100–150 staff (published estimates vary; to confirm), exporting to around 35 countries.</w:t>
      </w:r>
    </w:p>
    <w:p>
      <w:r>
        <w:t>Giesen is a documented HAN partner: one of six companies working with the HAN Lean QRM Centrum / Lectoraat Lean on a fieldlab project building digital‑twin systems to make production lead times more reliable, publicly presented at Varex in Doetinchem.</w:t>
      </w:r>
    </w:p>
    <w:p>
      <w:pPr>
        <w:pStyle w:val="Heading3"/>
      </w:pPr>
      <w:r>
        <w:t>The decision</w:t>
      </w:r>
    </w:p>
    <w:p>
      <w:r>
        <w:t>Having just scaled into a larger facility to meet growing international demand, Giesen needs production lead times to stay predictable at that larger scale – precisely what the HAN fieldlab's digital‑twin work targets technically. Our question is the business question sitting next to it: whether a company Giesen's size, without a dedicated data or planning function, can adopt AI‑assisted production‑reliability tools building on that work without a new hire, and what it would cost to find out.</w:t>
      </w:r>
    </w:p>
    <w:p>
      <w:pPr>
        <w:pStyle w:val="Heading3"/>
      </w:pPr>
      <w:r>
        <w:t>Why this is specific enough to be proved wrong</w:t>
      </w:r>
    </w:p>
    <w:p>
      <w:r>
        <w:t>It names a company, a sector, a region, a size, an ownership pattern, a recent triggering event (the new facility), and a quantified stake (staying reliable at higher volume). If our research finds the real constraint is something else – supplier lead times rather than internal scheduling, say – the proposal was wrong in a visible, correctable way. That is what it is for.</w:t>
      </w:r>
    </w:p>
    <w:p>
      <w:pPr>
        <w:pStyle w:val="Heading3"/>
      </w:pPr>
      <w:r>
        <w:t>Access</w:t>
      </w:r>
    </w:p>
    <w:p>
      <w:r>
        <w:t>Giesen is not yet our confirmed course partner. The teaching team assigns partner firms from its own pool and names ours in week 2; if we would rather propose Giesen, the site is explicit that we tell the lecturers first so consent terms can be checked. We are doing that. Until confirmed, every published page is also written to hold for a comparable Gelderland precision manufacturer, so the research does not depend on Giesen specifically being assigned.</w:t>
      </w:r>
    </w:p>
    <w:p>
      <w:pPr>
        <w:pStyle w:val="Heading2"/>
      </w:pPr>
      <w:r>
        <w:t>2. What They Need, and the Evidence It Is True</w:t>
      </w:r>
    </w:p>
    <w:p>
      <w:r>
        <w:rPr>
          <w:sz w:val="22"/>
        </w:rPr>
        <w:t>• Adoption at this size is real and accelerating. CBS: 29.8% of Dutch firms with 10 to 249 staff used at least one AI technology in 2025; in the 50 to 250 band the figure rose from 20% in 2023 to 45% in 2025.</w:t>
      </w:r>
    </w:p>
    <w:p>
      <w:r>
        <w:rPr>
          <w:sz w:val="22"/>
        </w:rPr>
        <w:t>• The barrier is not money or technology. Firms that had not adopted named lack of relevant experience (73%), privacy concerns (49%) and unclear legal consequences (42%) – cost and technical capability were not the top answers.</w:t>
      </w:r>
    </w:p>
    <w:p>
      <w:r>
        <w:rPr>
          <w:sz w:val="22"/>
        </w:rPr>
        <w:t>• An obligation is already live. EU AI Act Article 4 has required every deployer of an AI system, regardless of size, to ensure sufficient AI literacy among staff using it since 2 February 2025; national supervision and enforcement began 2 August 2026.</w:t>
      </w:r>
    </w:p>
    <w:p>
      <w:r>
        <w:t>Giesen sits at an unusual point in this picture: most SMEs face the knowledge barrier alone, but Giesen already has a live HAN research relationship addressing the technical side of its reliability problem. What it does not yet have is the business‑decision layer – whether, where and how cheaply an AI‑assisted approach could be adopted on top of that work without new headcount. That gap, not a lack of any HAN involvement at all, is what this handbook answers, and it is a sharper version of Draghi's diffusion gap: the technology and the research relationship already exist; what is missing is the adoption decision.</w:t>
      </w:r>
    </w:p>
    <w:p>
      <w:pPr>
        <w:pStyle w:val="Heading2"/>
      </w:pPr>
      <w:r>
        <w:t>3. Research Question and Spine</w:t>
      </w:r>
    </w:p>
    <w:p>
      <w:r>
        <w:t>Main question:</w:t>
      </w:r>
    </w:p>
    <w:p>
      <w:r>
        <w:t>Now that Giesen has scaled into a larger production facility, what would it take for a family‑owned precision manufacturer of its size to use AI‑assisted tools to keep production lead times reliable, building on HAN's own digital‑twin fieldlab work, without hiring a dedicated data or planning specialist?</w:t>
      </w:r>
    </w:p>
    <w:p>
      <w:pPr>
        <w:pStyle w:val="Heading3"/>
      </w:pPr>
      <w:r>
        <w:t>Themes and sub‑questions</w:t>
      </w:r>
    </w:p>
    <w:p>
      <w:r>
        <w:t>Theme 1 – Problem &amp; audience</w:t>
      </w:r>
    </w:p>
    <w:p>
      <w:r>
        <w:rPr>
          <w:sz w:val="22"/>
        </w:rPr>
        <w:t>• External: How common is lead‑time unpredictability as a barrier among Dutch precision manufacturers this size, per sector and CBS data?</w:t>
      </w:r>
    </w:p>
    <w:p>
      <w:r>
        <w:rPr>
          <w:sz w:val="22"/>
        </w:rPr>
        <w:t>• Internal: Since scaling into the new facility, where exactly do lead‑time surprises happen at Giesen, and who manages that today?</w:t>
      </w:r>
    </w:p>
    <w:p>
      <w:r>
        <w:t>Theme 2 – Geopolitics &amp; vendor models</w:t>
      </w:r>
    </w:p>
    <w:p>
      <w:r>
        <w:rPr>
          <w:sz w:val="22"/>
        </w:rPr>
        <w:t>• External: Who builds the AI/digital‑twin tools accessible to a manufacturer this size, who owns them, and where does production data go?</w:t>
      </w:r>
    </w:p>
    <w:p>
      <w:r>
        <w:rPr>
          <w:sz w:val="22"/>
        </w:rPr>
        <w:t>• Internal: What is Giesen already relying on for scheduling or quality decisions, and is any of it AI already, even informally?</w:t>
      </w:r>
    </w:p>
    <w:p>
      <w:r>
        <w:t>Theme 3 – Trust &amp; AI safety</w:t>
      </w:r>
    </w:p>
    <w:p>
      <w:r>
        <w:rPr>
          <w:sz w:val="22"/>
        </w:rPr>
        <w:t>• External: What do AI Act Article 4 and EU product‑safety and data rules require of a manufacturer deploying AI‑assisted production tools?</w:t>
      </w:r>
    </w:p>
    <w:p>
      <w:r>
        <w:rPr>
          <w:sz w:val="22"/>
        </w:rPr>
        <w:t>• Internal: What would Giesen need to show a regulator or an auditing customer, and what does it have today?</w:t>
      </w:r>
    </w:p>
    <w:p>
      <w:r>
        <w:t>Theme 4 – SME knowledge gaps</w:t>
      </w:r>
    </w:p>
    <w:p>
      <w:r>
        <w:rPr>
          <w:sz w:val="22"/>
        </w:rPr>
        <w:t>• External: Which reported barriers (experience, cost clarity, legal uncertainty) are most closable for a firm already inside a HAN fieldlab?</w:t>
      </w:r>
    </w:p>
    <w:p>
      <w:r>
        <w:rPr>
          <w:sz w:val="22"/>
        </w:rPr>
        <w:t>• Internal: Which of those gaps does Giesen have despite the existing HAN relationship, and who would carry the fix?</w:t>
      </w:r>
    </w:p>
    <w:p>
      <w:r>
        <w:t>Theme 5 – AI use cases</w:t>
      </w:r>
    </w:p>
    <w:p>
      <w:r>
        <w:rPr>
          <w:sz w:val="22"/>
        </w:rPr>
        <w:t>• External: Which AI‑assisted production‑reliability or predictive‑quality use cases have demonstrated payback at this scale?</w:t>
      </w:r>
    </w:p>
    <w:p>
      <w:r>
        <w:rPr>
          <w:sz w:val="22"/>
        </w:rPr>
        <w:t>• Internal: Which specific step in Giesen's roaster production is the safest first candidate, and which the most dangerous?</w:t>
      </w:r>
    </w:p>
    <w:p>
      <w:r>
        <w:t>Theme 6 – Successful implementations</w:t>
      </w:r>
    </w:p>
    <w:p>
      <w:r>
        <w:rPr>
          <w:sz w:val="22"/>
        </w:rPr>
        <w:t>• External: What distinguishes SME AI/digital‑twin adoptions that stuck from those abandoned once fieldlab funding ended?</w:t>
      </w:r>
    </w:p>
    <w:p>
      <w:r>
        <w:rPr>
          <w:sz w:val="22"/>
        </w:rPr>
        <w:t>• Internal: What would have to be true for Giesen's use to survive past the fieldlab project's own timeline?</w:t>
      </w:r>
    </w:p>
    <w:p>
      <w:r>
        <w:t>One argument, not six topics: theme 1 establishes the problem is real and now more urgent, 2 says whose tools and data are involved, 3 says what that legally requires, 4 says why Giesen's head start is not the whole answer, 5 says where to start, 6 says how to make it outlast a research grant. Any page that cannot be traced to one of these twelve sub‑questions does not belong in the handbook.</w:t>
      </w:r>
    </w:p>
    <w:p>
      <w:pPr>
        <w:pStyle w:val="Heading2"/>
      </w:pPr>
      <w:r>
        <w:t>4. Search Strategies and Source Selection for the Tool</w:t>
      </w:r>
    </w:p>
    <w:p>
      <w:pPr>
        <w:pStyle w:val="Heading3"/>
      </w:pPr>
      <w:r>
        <w:t>4.1 Search strategies the tool should incorporate</w:t>
      </w:r>
    </w:p>
    <w:p>
      <w:r>
        <w:t>The agentic research assistant should execute multi‑channel, triangulating searches per sub‑question:</w:t>
      </w:r>
    </w:p>
    <w:p>
      <w:r>
        <w:rPr>
          <w:sz w:val="22"/>
        </w:rPr>
        <w:t>• Adoption and barriers: "AI adoption SME Netherlands manufacturing CBS", "AI adoption 10–249 employees Netherlands 2025", "barriers AI adoption SME experience privacy legal"</w:t>
      </w:r>
    </w:p>
    <w:p>
      <w:r>
        <w:rPr>
          <w:sz w:val="22"/>
        </w:rPr>
        <w:t>• Digital twins and production reliability: "digital twin production lead time SME manufacturing Netherlands", "HAN Lean QRM Centrum digital twin fieldlab", "Varex Doetinchem digital twin Giesen"</w:t>
      </w:r>
    </w:p>
    <w:p>
      <w:r>
        <w:rPr>
          <w:sz w:val="22"/>
        </w:rPr>
        <w:t>• Vendor landscape and geopolitics: "digital twin platform manufacturing SME Europe", "predictive quality AI manufacturing vendor headquarters data location", "EU AI Act high‑risk production scheduling"</w:t>
      </w:r>
    </w:p>
    <w:p>
      <w:r>
        <w:rPr>
          <w:sz w:val="22"/>
        </w:rPr>
        <w:t>• Regulatory and data: "EU AI Act Article 4 AI literacy deployer", "GDPR production data manufacturing", "EU Data Act industrial data sharing"</w:t>
      </w:r>
    </w:p>
    <w:p>
      <w:r>
        <w:rPr>
          <w:sz w:val="22"/>
        </w:rPr>
        <w:t>• Analogous sectors: "SME digital twin adoption metalworking Netherlands", "AI production planning precision manufacturing Gelderland"</w:t>
      </w:r>
    </w:p>
    <w:p>
      <w:r>
        <w:t>The tool must log every query, store top‑N results with metadata (URL, date, publisher, type), and prefer primary sources over secondary summaries for legal, cost, and adoption claims.</w:t>
      </w:r>
    </w:p>
    <w:p>
      <w:pPr>
        <w:pStyle w:val="Heading3"/>
      </w:pPr>
      <w:r>
        <w:t>4.2 Source selection criteria (inclusion/exclusion)</w:t>
      </w:r>
    </w:p>
    <w:p>
      <w:pPr>
        <w:pStyle w:val="Heading4"/>
      </w:pPr>
      <w:r>
        <w:t>Include if:</w:t>
      </w:r>
    </w:p>
    <w:p>
      <w:r>
        <w:rPr>
          <w:sz w:val="22"/>
        </w:rPr>
        <w:t>• Primary or authoritative: vendor documentation, official regulations/guidance, recognized industry bodies, peer‑reviewed or reputable industry reports.</w:t>
      </w:r>
    </w:p>
    <w:p>
      <w:r>
        <w:rPr>
          <w:sz w:val="22"/>
        </w:rPr>
        <w:t>• Recency: ≤ 24 months for costs, product features, adoption statistics, and vendor capabilities; ≤ 36 months acceptable for regulatory fundamentals and standards.</w:t>
      </w:r>
    </w:p>
    <w:p>
      <w:r>
        <w:rPr>
          <w:sz w:val="22"/>
        </w:rPr>
        <w:t>• Specificity: contains concrete data (percentages, prices, SLAs, technical specs) or direct quotes; not generic marketing fluff.</w:t>
      </w:r>
    </w:p>
    <w:p>
      <w:r>
        <w:rPr>
          <w:sz w:val="22"/>
        </w:rPr>
        <w:t>• Verifiability: provides contactable authors, company domain, or traceable publication venue.</w:t>
      </w:r>
    </w:p>
    <w:p>
      <w:pPr>
        <w:pStyle w:val="Heading4"/>
      </w:pPr>
      <w:r>
        <w:t>Exclude if:</w:t>
      </w:r>
    </w:p>
    <w:p>
      <w:r>
        <w:rPr>
          <w:sz w:val="22"/>
        </w:rPr>
        <w:t>• Unverifiable or anonymous: no clear author/publisher, or purely aggregated "listicle" pages without sources.</w:t>
      </w:r>
    </w:p>
    <w:p>
      <w:r>
        <w:rPr>
          <w:sz w:val="22"/>
        </w:rPr>
        <w:t>• Outdated: older than the recency thresholds above, unless it's a foundational regulation or standard.</w:t>
      </w:r>
    </w:p>
    <w:p>
      <w:r>
        <w:rPr>
          <w:sz w:val="22"/>
        </w:rPr>
        <w:t>• Conflict of interest without disclosure: paid promotions or affiliate content without clear sponsorship labels.</w:t>
      </w:r>
    </w:p>
    <w:p>
      <w:r>
        <w:rPr>
          <w:sz w:val="22"/>
        </w:rPr>
        <w:t>• Snippet‑only: pages where key claims cannot be verified beyond a search snippet.</w:t>
      </w:r>
    </w:p>
    <w:p>
      <w:pPr>
        <w:pStyle w:val="Heading3"/>
      </w:pPr>
      <w:r>
        <w:t>4.3 Quality criteria and measurable rubric</w:t>
      </w:r>
    </w:p>
    <w:p>
      <w:r>
        <w:t>Each source receives a 0–5 score on five dimensions:</w:t>
      </w:r>
    </w:p>
    <w:p>
      <w:r>
        <w:rPr>
          <w:sz w:val="22"/>
        </w:rPr>
        <w:t>• Authority (0–5): 5 = regulator / primary vendor doc / peer‑reviewed; 3 = reputable industry media; 1 = anonymous blog.</w:t>
      </w:r>
    </w:p>
    <w:p>
      <w:r>
        <w:rPr>
          <w:sz w:val="22"/>
        </w:rPr>
        <w:t>• Recency (0–5): 5 = ≤ 6 months; 4 = 7–12 months; 3 = 13–24 months; 2 = 25–36 months; 1 = &gt; 36 months.</w:t>
      </w:r>
    </w:p>
    <w:p>
      <w:r>
        <w:rPr>
          <w:sz w:val="22"/>
        </w:rPr>
        <w:t>• Specificity (0–5): 5 = numeric data or direct quotes; 3 = detailed qualitative evidence; 1 = vague claims.</w:t>
      </w:r>
    </w:p>
    <w:p>
      <w:r>
        <w:rPr>
          <w:sz w:val="22"/>
        </w:rPr>
        <w:t>• Verifiability (0–5): 5 = full traceable references/DOIs/contacts; 3 = clear publisher and date; 1 = unclear provenance.</w:t>
      </w:r>
    </w:p>
    <w:p>
      <w:r>
        <w:rPr>
          <w:sz w:val="22"/>
        </w:rPr>
        <w:t>• Bias/Transparency (0–5): 5 = methods/data disclosed, conflicts stated; 3 = some transparency; 1 = promotional with no disclosures.</w:t>
      </w:r>
    </w:p>
    <w:p>
      <w:r>
        <w:t>Decision rule:</w:t>
      </w:r>
    </w:p>
    <w:p>
      <w:r>
        <w:rPr>
          <w:sz w:val="22"/>
        </w:rPr>
        <w:t>• Include sources with average score ≥ 3.5.</w:t>
      </w:r>
    </w:p>
    <w:p>
      <w:r>
        <w:rPr>
          <w:sz w:val="22"/>
        </w:rPr>
        <w:t>• For adoption statistics, legal obligations, and cost figures, require at least one source scoring ≥ 4 on Authority and Specificity.</w:t>
      </w:r>
    </w:p>
    <w:p>
      <w:r>
        <w:rPr>
          <w:sz w:val="22"/>
        </w:rPr>
        <w:t>• The agent outputs the rubric table alongside each claim.</w:t>
      </w:r>
    </w:p>
    <w:p>
      <w:pPr>
        <w:pStyle w:val="Heading2"/>
      </w:pPr>
      <w:r>
        <w:t>5. Handbook Page: Geopolitical Context of AI Development</w:t>
      </w:r>
    </w:p>
    <w:p>
      <w:pPr>
        <w:pStyle w:val="Heading3"/>
      </w:pPr>
      <w:r>
        <w:t>5.1 Sub‑questions this page answers</w:t>
      </w:r>
    </w:p>
    <w:p>
      <w:r>
        <w:rPr>
          <w:sz w:val="22"/>
        </w:rPr>
        <w:t>• GQ1 – Where are leading AI models and AI‑enabled industrial/digital‑twin platforms developed and operated (US, EU, China, others), and what export controls, compute restrictions, or data‑sovereignty rules affect access for a Dutch SME manufacturer like Giesen?</w:t>
      </w:r>
    </w:p>
    <w:p>
      <w:r>
        <w:rPr>
          <w:sz w:val="22"/>
        </w:rPr>
        <w:t>• GQ2 – How do EU regulations (e.g., EU AI Act, GDPR, Data Act) shape the design, deployment, and vendor selection for AI‑assisted production‑reliability tools in precision manufacturing?</w:t>
      </w:r>
    </w:p>
    <w:p>
      <w:r>
        <w:rPr>
          <w:sz w:val="22"/>
        </w:rPr>
        <w:t>• GQ3 – What strategic risks and opportunities arise for Giesen from choosing a US‑ vs EU‑based AI/digital‑twin vendor (e.g., supply chain resilience, brand alignment, regulatory compliance, long‑term pricing power, data location)?</w:t>
      </w:r>
    </w:p>
    <w:p>
      <w:pPr>
        <w:pStyle w:val="Heading3"/>
      </w:pPr>
      <w:r>
        <w:t>5.2 Application of search strategies and quality criteria</w:t>
      </w:r>
    </w:p>
    <w:p>
      <w:r>
        <w:t>The agent:</w:t>
      </w:r>
    </w:p>
    <w:p>
      <w:r>
        <w:rPr>
          <w:sz w:val="22"/>
        </w:rPr>
        <w:t>• Runs targeted queries for EU AI Act obligations relevant to production planning, predictive quality, and digital twins, plus GDPR/Data Act implications for production data and cross‑border transfers.</w:t>
      </w:r>
    </w:p>
    <w:p>
      <w:r>
        <w:rPr>
          <w:sz w:val="22"/>
        </w:rPr>
        <w:t>• Identifies vendor geography and infrastructure (headquarters, data centers, subprocessors) from privacy pages and terms; scores these with the rubric above.</w:t>
      </w:r>
    </w:p>
    <w:p>
      <w:r>
        <w:rPr>
          <w:sz w:val="22"/>
        </w:rPr>
        <w:t>• Pulls policy/industry analyses on export controls and compute constraints affecting AI access in the EU; prioritizes primary regulatory texts and recognized think tanks.</w:t>
      </w:r>
    </w:p>
    <w:p>
      <w:r>
        <w:rPr>
          <w:sz w:val="22"/>
        </w:rPr>
        <w:t>• For each claim (e.g., "EU AI Act classifies X as high‑risk"), attaches at least one high‑authority source (score ≥ 4) and shows the rubric breakdown.</w:t>
      </w:r>
    </w:p>
    <w:p>
      <w:pPr>
        <w:pStyle w:val="Heading3"/>
      </w:pPr>
      <w:r>
        <w:t>5.3 Handbook page text (final version)</w:t>
      </w:r>
    </w:p>
    <w:p>
      <w:r>
        <w:t>Geopolitical Context of AI Development for Giesen</w:t>
      </w:r>
    </w:p>
    <w:p>
      <w:r>
        <w:t>AI capabilities relevant to production planning, predictive quality, and digital twins are geographically concentrated and increasingly shaped by regulation. Most large foundation models and many industrial AI platforms originate in the United States, with significant activity in China and a more fragmented but growing ecosystem in the European Union.</w:t>
      </w:r>
    </w:p>
    <w:p>
      <w:r>
        <w:t>For a Dutch SME manufacturer like Giesen, the EU regulatory environment is the dominant factor in vendor selection and system design.</w:t>
      </w:r>
    </w:p>
    <w:p>
      <w:r>
        <w:t>Regulatory constraints and obligations. The EU AI Act applies a risk‑based framework: AI systems that materially affect safety or critical operational decisions can face obligations such as formal risk management, data governance, technical documentation, logging/traceability, and human oversight. While not every production‑planning or digital‑twin tool will be classified as high‑risk, any system that autonomously influences scheduling, resource allocation, or quality decisions may require these controls, increasing the compliance workload for Giesen. In parallel, the GDPR and the EU Data Act govern how production data is collected, shared with vendors, and transferred outside the EU, affecting whether a US‑hosted platform can be used without additional contractual and technical safeguards.</w:t>
      </w:r>
    </w:p>
    <w:p>
      <w:r>
        <w:t>Vendor geography and strategic trade‑offs. Foundation‑model providers (e.g., large LLMs) are predominantly US‑based, but Giesen is more likely to adopt a specialized industrial digital‑twin or production‑planning platform that may be EU‑based or have EU data centers. US vendors often offer mature platforms and broad integration ecosystems, yet can raise data‑sovereignty and brand‑alignment questions for a company emphasizing reliability and transparency in Europe. EU vendors may align better with GDPR expectations and local support but can face compute and scaling constraints relative to the largest US providers. These choices influence not only compliance costs but also long‑term resilience: dependence on a single foreign platform could expose Giesen to future export controls, pricing shifts, or service changes beyond its control.</w:t>
      </w:r>
    </w:p>
    <w:p>
      <w:r>
        <w:t>Implications for Giesen's "no new headcount/infrastructure" constraint. Geopolitical and regulatory factors can effectively create new infrastructure requirements, such as EU data‑residency configurations, on‑premise gateways, or additional monitoring and logging systems to satisfy AI Act obligations. To stay within the spirit of "no new headcount/infrastructure," Giesen should prioritize vendors that offer EU data residency, clear data processing agreements, and transparent subprocessor lists, and treat geopolitical risk as a scored criterion in vendor selection (e.g., via the rubric in Section 4.3). This reduces regulatory friction and supports Giesen's brand story while preserving access to advanced production‑reliability capabilities.</w:t>
      </w:r>
    </w:p>
    <w:p>
      <w:pPr>
        <w:pStyle w:val="Heading2"/>
      </w:pPr>
      <w:r>
        <w:t>6. Methodology</w:t>
      </w:r>
    </w:p>
    <w:p>
      <w:pPr>
        <w:pStyle w:val="Heading3"/>
      </w:pPr>
      <w:r>
        <w:t>Desk research answers the core:</w:t>
      </w:r>
    </w:p>
    <w:p>
      <w:r>
        <w:rPr>
          <w:sz w:val="22"/>
        </w:rPr>
        <w:t>• CBS and Eurostat for adoption and barrier figures by size band.</w:t>
      </w:r>
    </w:p>
    <w:p>
      <w:r>
        <w:rPr>
          <w:sz w:val="22"/>
        </w:rPr>
        <w:t>• Primary legal texts (AI Act Regulation 2024/1689, GDPR) rather than summaries.</w:t>
      </w:r>
    </w:p>
    <w:p>
      <w:r>
        <w:rPr>
          <w:sz w:val="22"/>
        </w:rPr>
        <w:t>• HAN's own published material on the Lean QRM Centrum's digital‑twin fieldlab, including the Varex Doetinchem presentation, as a primary account of the technical work already under way.</w:t>
      </w:r>
    </w:p>
    <w:p>
      <w:r>
        <w:rPr>
          <w:sz w:val="22"/>
        </w:rPr>
        <w:t>• Trade press on Giesen's 2025 rebrand and new facility.</w:t>
      </w:r>
    </w:p>
    <w:p>
      <w:r>
        <w:rPr>
          <w:sz w:val="22"/>
        </w:rPr>
        <w:t>• Sector material on precision manufacturing in the Achterhoek.</w:t>
      </w:r>
    </w:p>
    <w:p>
      <w:r>
        <w:t>Every external sub‑question is answerable from these without access to the firm.</w:t>
      </w:r>
    </w:p>
    <w:p>
      <w:pPr>
        <w:pStyle w:val="Heading3"/>
      </w:pPr>
      <w:r>
        <w:t>Field research supplies the case, not the foundation:</w:t>
      </w:r>
    </w:p>
    <w:p>
      <w:r>
        <w:rPr>
          <w:sz w:val="22"/>
        </w:rPr>
        <w:t>• One visit in weeks 2 to 4, once Giesen is confirmed as our partner and consent is signed.</w:t>
      </w:r>
    </w:p>
    <w:p>
      <w:r>
        <w:rPr>
          <w:sz w:val="22"/>
        </w:rPr>
        <w:t>• It asks only what an interviewee can reliably report: where lead‑time surprises actually occur, who currently manages scheduling, what tools are already in informal use.</w:t>
      </w:r>
    </w:p>
    <w:p>
      <w:r>
        <w:rPr>
          <w:sz w:val="22"/>
        </w:rPr>
        <w:t>• It does not ask them to forecast whether AI would help – that is our judgement to form.</w:t>
      </w:r>
    </w:p>
    <w:p>
      <w:r>
        <w:rPr>
          <w:sz w:val="22"/>
        </w:rPr>
        <w:t>• If Giesen is not confirmed or the visit is delayed, every external sub‑question still has an answer from HAN's own published fieldlab material and CBS data, and the handbook still publishes for the comparable‑firm archetype.</w:t>
      </w:r>
    </w:p>
    <w:p>
      <w:pPr>
        <w:pStyle w:val="Heading3"/>
      </w:pPr>
      <w:r>
        <w:t>Language:</w:t>
      </w:r>
    </w:p>
    <w:p>
      <w:r>
        <w:t>Dutch sources – CBS, HAN's own Dutch‑language news coverage of the fieldlab, sector press – are handled by a platform translation step with a named owner, so the language does not decide who on the team can do research.</w:t>
      </w:r>
    </w:p>
    <w:p>
      <w:pPr>
        <w:pStyle w:val="Heading3"/>
      </w:pPr>
      <w:r>
        <w:t>A hard rule we are bound by:</w:t>
      </w:r>
    </w:p>
    <w:p>
      <w:r>
        <w:rPr>
          <w:sz w:val="22"/>
        </w:rPr>
        <w:t>• No company is approached before the consent and anonymisation text is signed off.</w:t>
      </w:r>
    </w:p>
    <w:p>
      <w:r>
        <w:rPr>
          <w:sz w:val="22"/>
        </w:rPr>
        <w:t>• No interview material goes through a free‑tier AI tool.</w:t>
      </w:r>
    </w:p>
    <w:p>
      <w:r>
        <w:rPr>
          <w:sz w:val="22"/>
        </w:rPr>
        <w:t>• Giesen's existing relationship with HAN does not exempt us from this; we go through the same process as any team proposing its own contact.</w:t>
      </w:r>
    </w:p>
    <w:p>
      <w:pPr>
        <w:pStyle w:val="Heading2"/>
      </w:pPr>
      <w:r>
        <w:t>7. Expected Outputs</w:t>
      </w:r>
    </w:p>
    <w:p>
      <w:r>
        <w:rPr>
          <w:sz w:val="22"/>
        </w:rPr>
        <w:t>• A validated set of external and internal sub‑questions tied to six themes.</w:t>
      </w:r>
    </w:p>
    <w:p>
      <w:r>
        <w:rPr>
          <w:sz w:val="22"/>
        </w:rPr>
        <w:t>• A short list of candidate AI/digital‑twin platforms with cost, geography, and compliance profiles.</w:t>
      </w:r>
    </w:p>
    <w:p>
      <w:r>
        <w:rPr>
          <w:sz w:val="22"/>
        </w:rPr>
        <w:t>• A clear recommendation on whether a "no new headcount/infrastructure" pilot is realistic for Giesen, and under what conditions.</w:t>
      </w:r>
    </w:p>
    <w:p>
      <w:r>
        <w:rPr>
          <w:sz w:val="22"/>
        </w:rPr>
        <w:t>• A handbook page on the geopolitical context of AI development for Giesen, produced using the tool's search strategies and quality criteria.</w:t>
      </w:r>
    </w:p>
    <w:p>
      <w:pPr>
        <w:pStyle w:val="Heading2"/>
      </w:pPr>
      <w:r>
        <w:t>8. Risks and Mitigations</w:t>
      </w:r>
    </w:p>
    <w:p>
      <w:r>
        <w:rPr>
          <w:sz w:val="22"/>
        </w:rPr>
        <w:t>• Risk: Key adoption or cost data is not publicly available. Mitigation: Use tender databases, request indicative quotes, and rely on analogous sectors.</w:t>
      </w:r>
    </w:p>
    <w:p>
      <w:r>
        <w:rPr>
          <w:sz w:val="22"/>
        </w:rPr>
        <w:t>• Risk: Interviewee lacks familiarity with digital twins or AI. Mitigation: Provide a brief primer before the interview; focus on current pain points and data availability rather than speculative AI judgments.</w:t>
      </w:r>
    </w:p>
    <w:p>
      <w:r>
        <w:rPr>
          <w:sz w:val="22"/>
        </w:rPr>
        <w:t>• Risk: Regulatory interpretation is uncertain. Mitigation: Rely on primary EU texts and recognized guidance; flag uncertain claims with confidence scores.</w:t>
      </w:r>
    </w:p>
    <w:p>
      <w:pPr>
        <w:pStyle w:val="Heading2"/>
      </w:pPr>
      <w:r>
        <w:t>9. Timeline (Indicative)</w:t>
      </w:r>
    </w:p>
    <w:p>
      <w:r>
        <w:rPr>
          <w:sz w:val="22"/>
        </w:rPr>
        <w:t>• Week 1–2: Refine sub‑questions; implement initial search strategies in the tool.</w:t>
      </w:r>
    </w:p>
    <w:p>
      <w:r>
        <w:rPr>
          <w:sz w:val="22"/>
        </w:rPr>
        <w:t>• Week 3: Run external analysis; shortlist vendors and adoption evidence.</w:t>
      </w:r>
    </w:p>
    <w:p>
      <w:r>
        <w:rPr>
          <w:sz w:val="22"/>
        </w:rPr>
        <w:t>• Week 4: Conduct internal interview (if Giesen confirmed); complete internal analysis.</w:t>
      </w:r>
    </w:p>
    <w:p>
      <w:r>
        <w:rPr>
          <w:sz w:val="22"/>
        </w:rPr>
        <w:t>• Week 5: Draft recommendations and handbook pages; iterate with rubric‑based quality checks.</w:t>
      </w:r>
    </w:p>
    <w:p>
      <w:r>
        <w:rPr>
          <w:sz w:val="22"/>
        </w:rPr>
        <w:t>• Week 6: Finalize report and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