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What do firms like mine use AI for, and which use is worth trying first?</w:t>
      </w:r>
    </w:p>
    <w:p>
      <w:r>
        <w:rPr>
          <w:i/>
        </w:rPr>
        <w:t xml:space="preserve">Handbook page 2 · AI use cases at SMEs · Team 08 · 10 Oct 2026</w:t>
      </w:r>
    </w:p>
    <w:p>
      <w:pPr>
        <w:pStyle w:val="Heading2"/>
      </w:pPr>
      <w:r>
        <w:t xml:space="preserve">The question, for this kind of SME</w:t>
      </w:r>
    </w:p>
    <w:p>
      <w:r>
        <w:t xml:space="preserve">You build food-processing machines to order, with 50 to 249 staff. Handbook page 1 showed that the gap that matters most is knowing your own delivery-date performance.</w:t>
      </w:r>
    </w:p>
    <w:p>
      <w:r>
        <w:rPr>
          <w:b/>
        </w:rPr>
        <w:t xml:space="preserve">Your question:</w:t>
      </w:r>
      <w:r>
        <w:t xml:space="preserve"> what do firms like mine actually use AI for, what pays off, and which one use should we try first?</w:t>
      </w:r>
    </w:p>
    <w:p>
      <w:r>
        <w:t xml:space="preserve">This page answers sub-questions </w:t>
      </w:r>
      <w:r>
        <w:rPr>
          <w:b/>
        </w:rPr>
        <w:t xml:space="preserve">E4</w:t>
      </w:r>
      <w:r>
        <w:t xml:space="preserve"> (AI applications with documented results in build-to-order manufacturing) and </w:t>
      </w:r>
      <w:r>
        <w:rPr>
          <w:b/>
        </w:rPr>
        <w:t xml:space="preserve">I4</w:t>
      </w:r>
      <w:r>
        <w:t xml:space="preserve"> (the best first planning problem, and the data it needs).</w:t>
      </w:r>
    </w:p>
    <w:p>
      <w:pPr>
        <w:pStyle w:val="Heading2"/>
      </w:pPr>
      <w:r>
        <w:t xml:space="preserve">The translation</w:t>
      </w:r>
    </w:p>
    <w:p>
      <w:r>
        <w:rPr>
          <w:b/>
        </w:rPr>
        <w:t xml:space="preserve">What firms use AI for today: mostly the office.</w:t>
      </w:r>
      <w:r>
        <w:t xml:space="preserve"> Of Dutch firms that use AI, 35% use it for marketing or sales [S002]. 32% use it for administration or management tasks, such as risk assessment, selecting applicants, translation or planning [S002]. 18% use it for production or service processes [S002], and only 4% for logistics [S002]. EU manufacturers that use AI do so mostly for marketing and sales (30.41%) and administration (27.05%) [S003]. Small firms use AI for production processes far less than large firms: 19.02% against 33.46% of firms that use AI [S003].</w:t>
      </w:r>
    </w:p>
    <w:p>
      <w:r>
        <w:rPr>
          <w:b/>
        </w:rPr>
        <w:t xml:space="preserve">Mostly off-the-shelf.</w:t>
      </w:r>
      <w:r>
        <w:t xml:space="preserve"> In the OECD's 2026 survey, SMEs kept taking up off-the-shelf AI tools, but strategic, targeted and secure integration into their operations remained uneven [S006].</w:t>
      </w:r>
    </w:p>
    <w:p>
      <w:r>
        <w:rPr>
          <w:b/>
        </w:rPr>
        <w:t xml:space="preserve">What is promised.</w:t>
      </w:r>
      <w:r>
        <w:t xml:space="preserve"> Vendor's own story (PayPal): AI agents can automate tasks such as reordering inventory, sending invoices, updating financial records and preparing compliance reports [S007]. The Asian Productivity Organization recommends four AI strategies for SME manufacturers: predictive maintenance and visual quality inspection, digital twins, human-in-the-loop operations, and federated learning [S009]. Interpretation: these describe what could be done, not what has been shown to pay off. The OECD's survey findings above are more cautious than the vendor's promise.</w:t>
      </w:r>
    </w:p>
    <w:p>
      <w:r>
        <w:rPr>
          <w:b/>
        </w:rPr>
        <w:t xml:space="preserve">What pays off: the evidence is thin.</w:t>
      </w:r>
      <w:r>
        <w:t xml:space="preserve"> Unknown: our search found no documented, measured case of AI planning at a Dutch SME machine builder. What firms do instead: Dutch SME manufacturers increasingly choose small, feasible steps over large programmes [S005].</w:t>
      </w:r>
    </w:p>
    <w:p>
      <w:r>
        <w:rPr>
          <w:b/>
        </w:rPr>
        <w:t xml:space="preserve">The closest documented result to your problem.</w:t>
      </w:r>
      <w:r>
        <w:t xml:space="preserve"> Comparable case: a study of two German make-to-order manufacturers, producing in batches of 1 to 10,000 pieces for a global market, tested machine learning to predict delivery dates [S008]. Predicting the date at the quote stage lowered the risk of late delivery, but its prediction error was 35% higher than that of the planning department's later estimate [S008]. The customer's desired delivery date was the most valuable input [S008]. Knowing realistic dates early helps avoid rush orders, which makes the plan more reliable [S008]. But once all steps were scheduled, unforeseen changes left an error that neither the model nor the planners could correct [S008].</w:t>
      </w:r>
    </w:p>
    <w:p>
      <w:r>
        <w:rPr>
          <w:b/>
        </w:rPr>
        <w:t xml:space="preserve">Our pick: a realistic delivery date at the quote.</w:t>
      </w:r>
      <w:r>
        <w:t xml:space="preserve"> Interpretation: it answers the gap from page 1, it targets the problem you started with, and it can start small.</w:t>
      </w:r>
    </w:p>
    <w:p>
      <w:pPr>
        <w:pStyle w:val="Heading2"/>
      </w:pPr>
      <w:r>
        <w:t xml:space="preserve">Illustrative use case (CRISP-DM)</w:t>
      </w:r>
    </w:p>
    <w:p>
      <w:r>
        <w:rPr>
          <w:b/>
        </w:rPr>
        <w:t xml:space="preserve">A realistic delivery date at the quote</w:t>
      </w:r>
      <w:r>
        <w:t xml:space="preserve">, taken through the six steps of CRISP-DM.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Business understanding.</w:t>
      </w:r>
      <w:r>
        <w:t xml:space="preserve"> The goal is to promise dates you can keep. Success measure: the share of orders delivered on the promised date, compared with the baseline from page 1, and fewer rush orders. Interpretation: agree a stop rule at the start, for example stop if the estimates are not better than the planner's after three months.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Data understanding.</w:t>
      </w:r>
      <w:r>
        <w:t xml:space="preserve"> You need your order history: the customer's desired date, the date you promised, the actual delivery date, the route through the factory, and any outside work. Comparable case: one of the German firms used data from its ERP system (the software that holds orders and planning) covering July 2019 to March 2022 [S008]. That data set held 16,361 orders, and the firm completes about 300 customer orders a week [S008]. </w:t>
      </w:r>
      <w:r>
        <w:rPr>
          <w:b/>
        </w:rPr>
        <w:t xml:space="preserve">Be honest about your data.</w:t>
      </w:r>
      <w:r>
        <w:t xml:space="preserve"> Interpretation: a machine builder that ships a handful of large machines a month has far fewer orders, probably too few for a machine-learning model at first. Unknown: how many orders and which fields your ERP system holds.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Data preparation.</w:t>
      </w:r>
      <w:r>
        <w:t xml:space="preserve"> Clean the dates and link each order to its engineering changes and supplier delays.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Modelling.</w:t>
      </w:r>
      <w:r>
        <w:t xml:space="preserve"> Interpretation: start simple. Use a rule of thumb or an average based on your own history, and try machine learning only when enough history exists.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Evaluation.</w:t>
      </w:r>
      <w:r>
        <w:t xml:space="preserve"> For three months, compare the estimate, the planner's date and the real date. Judge both accuracy and lateness. Comparable case: the early estimate was less accurate than the planners' but lowered the risk of late delivery [S008].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Deployment.</w:t>
      </w:r>
      <w:r>
        <w:t xml:space="preserve"> The planner sees the estimate as advice. A person sets the date and tells the customer.</w:t>
      </w:r>
    </w:p>
    <w:p>
      <w:pPr>
        <w:pStyle w:val="Heading2"/>
      </w:pPr>
      <w:r>
        <w:t xml:space="preserve">Recommended tooling</w:t>
      </w:r>
    </w:p>
    <w:p>
      <w:r>
        <w:t xml:space="preserve">Evidence not found: no accepted source compares planning tools for build-to-order SMEs. Interpretation: start with an ERP export and a spreadsheet. Look at advanced planning or AI tools only once you have a baseline. When you talk to vendors, ask for references from machine builders with delivery figures from before and after, and treat their answers as the vendor's own story.</w:t>
      </w:r>
    </w:p>
    <w:p>
      <w:pPr>
        <w:pStyle w:val="Heading2"/>
      </w:pPr>
      <w:r>
        <w:t xml:space="preserve">Responsible AI &amp; trust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Which data may leave the firm.</w:t>
      </w:r>
      <w:r>
        <w:t xml:space="preserve"> Order and customer data stay inside the firm while you build the estimate. If you later use a vendor's cloud tool, agree in writing what the vendor may do with your data: AI Act users must make agreements with suppliers [S004].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Where a person decides.</w:t>
      </w:r>
      <w:r>
        <w:t xml:space="preserve"> AI only advises; the planner commits the date. Comparable case: unforeseen changes left errors that no model could correct [S008].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Staff.</w:t>
      </w:r>
      <w:r>
        <w:t xml:space="preserve"> Process innovation, and using AI with employees involved from the start, are the key [S005]. Interpretation: involve the planner and sales from step 1.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The rules that apply.</w:t>
      </w:r>
      <w:r>
        <w:t xml:space="preserve"> AI Act users must check whether an application falls under the law, be transparent with customers and train staff [S004]. For SMEs using generative AI, the AI Act usually means limited risk, with light obligations mainly about transparency [S004]. Unknown: whether a planning tool that sets delivery dates falls into a higher risk class; check the legal text.</w:t>
      </w:r>
    </w:p>
    <w:p>
      <w:pPr>
        <w:pStyle w:val="Heading2"/>
      </w:pPr>
      <w:r>
        <w:t xml:space="preserve">First five steps for an owner</w:t>
      </w:r>
    </w:p>
    <w:p>
      <w:r>
        <w:t xml:space="preserve">All five can start within 30 days.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Choose this use case</w:t>
      </w:r>
      <w:r>
        <w:t xml:space="preserve"> and name the planner as its owner. </w:t>
      </w:r>
      <w:r>
        <w:rPr>
          <w:i/>
        </w:rPr>
        <w:t xml:space="preserve">(owner, in week 1)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Start from page 1's baseline:</w:t>
      </w:r>
      <w:r>
        <w:t xml:space="preserve"> the on-time share and the top reasons for misses. </w:t>
      </w:r>
      <w:r>
        <w:rPr>
          <w:i/>
        </w:rPr>
        <w:t xml:space="preserve">(planner, in weeks 1–3)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For the next 10 quotes,</w:t>
      </w:r>
      <w:r>
        <w:t xml:space="preserve"> write the planner's date and a simple estimate based on your history side by side, then compare both with the real date later. </w:t>
      </w:r>
      <w:r>
        <w:rPr>
          <w:i/>
        </w:rPr>
        <w:t xml:space="preserve">(planner with sales, from week 2)</w:t>
      </w:r>
      <w:r>
        <w:t xml:space="preserve"> </w:t>
      </w:r>
      <w:r>
        <w:rPr>
          <w:b/>
        </w:rPr>
        <w:t xml:space="preserve">Reversible:</w:t>
      </w:r>
      <w:r>
        <w:t xml:space="preserve"> a paper exercise; no system changes and no customer sees 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Ask two planning-software vendors</w:t>
      </w:r>
      <w:r>
        <w:t xml:space="preserve"> for references from machine builders, with delivery figures from before and after. </w:t>
      </w:r>
      <w:r>
        <w:rPr>
          <w:i/>
        </w:rPr>
        <w:t xml:space="preserve">(owner, in week 3)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Write down</w:t>
      </w:r>
      <w:r>
        <w:t xml:space="preserve"> what data a vendor may access, and that a person always sets the delivery date. </w:t>
      </w:r>
      <w:r>
        <w:rPr>
          <w:i/>
        </w:rPr>
        <w:t xml:space="preserve">(office manager, in week 4)</w:t>
      </w:r>
    </w:p>
    <w:p>
      <w:pPr>
        <w:pStyle w:val="Heading2"/>
      </w:pPr>
      <w:r>
        <w:t xml:space="preserve">Sources</w:t>
      </w:r>
    </w:p>
    <w:tbl>
      <w:tblPr>
        <w:tblStyle w:val="TableGrid"/>
        <w:tblW w:w="9026" w:type="dxa"/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w="1805" w:type="dxa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 xml:space="preserve">ID</w:t>
            </w:r>
          </w:p>
        </w:tc>
        <w:tc>
          <w:tcPr>
            <w:tcW w:w="1805" w:type="dxa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 xml:space="preserve">Source</w:t>
            </w:r>
          </w:p>
        </w:tc>
        <w:tc>
          <w:tcPr>
            <w:tcW w:w="1805" w:type="dxa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 xml:space="preserve">Supports</w:t>
            </w:r>
          </w:p>
        </w:tc>
        <w:tc>
          <w:tcPr>
            <w:tcW w:w="1805" w:type="dxa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 xml:space="preserve">Who says it and why credible</w:t>
            </w:r>
          </w:p>
        </w:tc>
        <w:tc>
          <w:tcPr>
            <w:tcW w:w="1806" w:type="dxa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 xml:space="preserve">Limitation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t xml:space="preserve">S002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CBS, </w:t>
            </w:r>
            <w:r>
              <w:rPr>
                <w:i/>
              </w:rPr>
              <w:t xml:space="preserve">Bedrijven gebruiken AI vaakst voor marketing of verkoop</w:t>
            </w:r>
            <w:r>
              <w:t xml:space="preserve">, 12 Dec 2025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C008–C011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Statistics Netherlands, the official statistics office</w:t>
            </w:r>
          </w:p>
        </w:tc>
        <w:tc>
          <w:tcPr>
            <w:tcW w:w="1806" w:type="dxa"/>
          </w:tcPr>
          <w:p>
            <w:pPr>
              <w:spacing w:after="0"/>
            </w:pPr>
            <w:r>
              <w:t xml:space="preserve">Self-reported; all sectors; provisional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t xml:space="preserve">S003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Eurostat, </w:t>
            </w:r>
            <w:r>
              <w:rPr>
                <w:i/>
              </w:rPr>
              <w:t xml:space="preserve">Use of artificial intelligence in enterprises</w:t>
            </w:r>
            <w:r>
              <w:t xml:space="preserve">, Dec 2025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C015, C016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The EU statistical office</w:t>
            </w:r>
          </w:p>
        </w:tc>
        <w:tc>
          <w:tcPr>
            <w:tcW w:w="1806" w:type="dxa"/>
          </w:tcPr>
          <w:p>
            <w:pPr>
              <w:spacing w:after="0"/>
            </w:pPr>
            <w:r>
              <w:t xml:space="preserve">EU totals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t xml:space="preserve">S004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KVK, </w:t>
            </w:r>
            <w:r>
              <w:rPr>
                <w:i/>
              </w:rPr>
              <w:t xml:space="preserve">Ondernemers zetten nauwelijks stappen rond Europese AI-wetgeving</w:t>
            </w:r>
            <w:r>
              <w:t xml:space="preserve">, 11 Sep 2025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C039, C040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Netherlands Chamber of Commerce</w:t>
            </w:r>
          </w:p>
        </w:tc>
        <w:tc>
          <w:tcPr>
            <w:tcW w:w="1806" w:type="dxa"/>
          </w:tcPr>
          <w:p>
            <w:pPr>
              <w:spacing w:after="0"/>
            </w:pPr>
            <w:r>
              <w:t xml:space="preserve">Summary of the law, not the legal text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t xml:space="preserve">S005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FME et al., </w:t>
            </w:r>
            <w:r>
              <w:rPr>
                <w:i/>
              </w:rPr>
              <w:t xml:space="preserve">Mkb-maakindustrie zet digitaliseringsstappen</w:t>
            </w:r>
            <w:r>
              <w:t xml:space="preserve">, 14 Apr 2026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C023, C042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Sector bodies with Fontys</w:t>
            </w:r>
          </w:p>
        </w:tc>
        <w:tc>
          <w:tcPr>
            <w:tcW w:w="1806" w:type="dxa"/>
          </w:tcPr>
          <w:p>
            <w:pPr>
              <w:spacing w:after="0"/>
            </w:pPr>
            <w:r>
              <w:t xml:space="preserve">Sample size not stated; Brabant focus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t xml:space="preserve">S006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OECD, </w:t>
            </w:r>
            <w:r>
              <w:rPr>
                <w:i/>
              </w:rPr>
              <w:t xml:space="preserve">Empowering SMEs in the age of AI</w:t>
            </w:r>
            <w:r>
              <w:t xml:space="preserve">, 13 Apr 2026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C025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OECD; survey of over 2,000 SMEs</w:t>
            </w:r>
          </w:p>
        </w:tc>
        <w:tc>
          <w:tcPr>
            <w:tcW w:w="1806" w:type="dxa"/>
          </w:tcPr>
          <w:p>
            <w:pPr>
              <w:spacing w:after="0"/>
            </w:pPr>
            <w:r>
              <w:t xml:space="preserve">Abstract only; non-representative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t xml:space="preserve">S007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OECD Cogito blog, </w:t>
            </w:r>
            <w:r>
              <w:rPr>
                <w:i/>
              </w:rPr>
              <w:t xml:space="preserve">Agentic AI for Small Business Growth</w:t>
            </w:r>
            <w:r>
              <w:t xml:space="preserve"> (author: PayPal), 16 Sep 2025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C026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A vendor's head of government relations, on an OECD blog</w:t>
            </w:r>
          </w:p>
        </w:tc>
        <w:tc>
          <w:tcPr>
            <w:tcW w:w="1806" w:type="dxa"/>
          </w:tcPr>
          <w:p>
            <w:pPr>
              <w:spacing w:after="0"/>
            </w:pPr>
            <w:r>
              <w:t xml:space="preserve">Vendor's own story: shows a product idea exists, not that it works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t xml:space="preserve">S008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Rokoss et al., </w:t>
            </w:r>
            <w:r>
              <w:rPr>
                <w:i/>
              </w:rPr>
              <w:t xml:space="preserve">Delivery time determination using machine learning in small batch production</w:t>
            </w:r>
            <w:r>
              <w:t xml:space="preserve">, 2024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C029–C032, C035–C037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Peer-reviewed, open-access study</w:t>
            </w:r>
          </w:p>
        </w:tc>
        <w:tc>
          <w:tcPr>
            <w:tcW w:w="1806" w:type="dxa"/>
          </w:tcPr>
          <w:p>
            <w:pPr>
              <w:spacing w:after="0"/>
            </w:pPr>
            <w:r>
              <w:t xml:space="preserve">Two German firms, not food-processing machinery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t xml:space="preserve">S009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Asian Productivity Organization, </w:t>
            </w:r>
            <w:r>
              <w:rPr>
                <w:i/>
              </w:rPr>
              <w:t xml:space="preserve">Leveraging AI for Smart Manufacturing in SMEs</w:t>
            </w:r>
            <w:r>
              <w:t xml:space="preserve">, 2026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C038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t xml:space="preserve">Intergovernmental productivity body</w:t>
            </w:r>
          </w:p>
        </w:tc>
        <w:tc>
          <w:tcPr>
            <w:tcW w:w="1806" w:type="dxa"/>
          </w:tcPr>
          <w:p>
            <w:pPr>
              <w:spacing w:after="0"/>
            </w:pPr>
            <w:r>
              <w:t xml:space="preserve">Description only; guidance, not results</w:t>
            </w:r>
          </w:p>
        </w:tc>
      </w:tr>
    </w:tbl>
    <w:p/>
    <w:p>
      <w:pPr>
        <w:pStyle w:val="Heading2"/>
      </w:pPr>
      <w:r>
        <w:t xml:space="preserve">What our platform drafted, and what we checked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Drafted by the Handbook Assistant (Claude)</w:t>
      </w:r>
      <w:r>
        <w:t xml:space="preserve"> on 10 Oct 2026, from evidence-log claims C008, C009, C010, C011, C015, C016, C023, C025, C026, C029, C030, C031, C032, C035, C036, C037, C038, C039, C040 and C042, all accepted by the tester.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Rejected by the tester:</w:t>
      </w:r>
      <w:r>
        <w:t xml:space="preserve"> C027 and C028, second-hand survey figures in a vendor's blog post. The OECD original is to be appraised later.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Checked by the assistant:</w:t>
      </w:r>
      <w:r>
        <w:t xml:space="preserve"> every exact source passage behind these claims was compared word for word with the saved source text and the live web page.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Field research and desk research.</w:t>
      </w:r>
      <w:r>
        <w:t xml:space="preserve"> Every claim on this page rests on desk research. None rests on field research: the interview has not taken place (plan B).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What this page cannot tell the owner,</w:t>
      </w:r>
      <w:r>
        <w:t xml:space="preserve"> because the firm itself was not asked: how many orders it handles and what its ERP system records; which planning problem its own staff find most painful; and what it has already tried with AI.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Checked by the team (tester, 10 Oct 2026):</w:t>
      </w:r>
      <w:r>
        <w:t xml:space="preserve"> accepted every claim used on this page against its saved source; opened S003, S007 and S008 and found that the cited passages matched.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Dutch translations</w:t>
      </w:r>
      <w:r>
        <w:t xml:space="preserve"> of C008–C011, C023, C039, C040 and C042 confirmed by the team's Dutch-reading member (10 Oct 2026).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Still to do before publication:</w:t>
      </w:r>
      <w:r>
        <w:t xml:space="preserve"> a jargon check by one reader outside the team (C4).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en-G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</w:rPr>
  </w:style>
  <w:style w:type="paragraph" w:styleId="ListParagraph">
    <w:name w:val="List Paragraph"/>
    <w:basedOn w:val="Normal"/>
    <w:pPr>
      <w:spacing w:after="60"/>
      <w:ind w:left="720"/>
    </w:pPr>
  </w:style>
  <w:style w:type="paragraph" w:styleId="Quote">
    <w:name w:val="Quote"/>
    <w:basedOn w:val="Normal"/>
    <w:pPr>
      <w:ind w:left="567"/>
      <w:pBdr>
        <w:left w:val="single" w:sz="12" w:space="8" w:color="2F5496"/>
      </w:pBdr>
    </w:pPr>
    <w:rPr>
      <w:i/>
    </w:rPr>
  </w:style>
  <w:style w:type="table" w:styleId="TableGrid">
    <w:name w:val="Table Grid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left w:w="100" w:type="dxa"/>
        <w:right w:w="100" w:type="dxa"/>
      </w:tblCellMar>
    </w:tblPr>
    <w:rPr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